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E89D0" w14:textId="7416EFF6" w:rsidR="002805F2" w:rsidRPr="007E127D" w:rsidRDefault="007E127D" w:rsidP="007E127D">
      <w:pPr>
        <w:jc w:val="center"/>
        <w:rPr>
          <w:rFonts w:asciiTheme="minorHAnsi" w:eastAsia="Times New Roman" w:hAnsiTheme="minorHAnsi" w:cstheme="minorHAnsi"/>
          <w:noProof/>
          <w:color w:val="000000"/>
          <w:sz w:val="22"/>
          <w:szCs w:val="22"/>
        </w:rPr>
      </w:pPr>
      <w:r>
        <w:rPr>
          <w:rFonts w:asciiTheme="minorHAnsi" w:eastAsia="Times New Roman" w:hAnsiTheme="minorHAnsi" w:cstheme="minorHAnsi"/>
          <w:noProof/>
          <w:color w:val="000000"/>
          <w:sz w:val="22"/>
          <w:szCs w:val="22"/>
        </w:rPr>
        <w:drawing>
          <wp:inline distT="0" distB="0" distL="0" distR="0" wp14:anchorId="2F009D3D" wp14:editId="0EF8901A">
            <wp:extent cx="2781300" cy="2549015"/>
            <wp:effectExtent l="0" t="0" r="0" b="3810"/>
            <wp:docPr id="1594098041" name="Picture 2" descr="A blue text with a golf ball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098041" name="Picture 2" descr="A blue text with a golf ball in the midd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87544" cy="2554737"/>
                    </a:xfrm>
                    <a:prstGeom prst="rect">
                      <a:avLst/>
                    </a:prstGeom>
                  </pic:spPr>
                </pic:pic>
              </a:graphicData>
            </a:graphic>
          </wp:inline>
        </w:drawing>
      </w:r>
    </w:p>
    <w:p w14:paraId="7AC084A5" w14:textId="356AA6EC" w:rsidR="007E127D" w:rsidRDefault="007E127D" w:rsidP="00ED3F18">
      <w:pPr>
        <w:pStyle w:val="NoSpacing"/>
        <w:rPr>
          <w:b/>
          <w:bCs/>
        </w:rPr>
      </w:pPr>
      <w:r>
        <w:rPr>
          <w:b/>
          <w:bCs/>
        </w:rPr>
        <w:br/>
      </w:r>
    </w:p>
    <w:p w14:paraId="442AAC12" w14:textId="3D2976D4" w:rsidR="00ED3F18" w:rsidRDefault="00ED3F18" w:rsidP="00ED3F18">
      <w:pPr>
        <w:pStyle w:val="NoSpacing"/>
        <w:rPr>
          <w:b/>
          <w:bCs/>
        </w:rPr>
      </w:pPr>
      <w:r>
        <w:rPr>
          <w:b/>
          <w:bCs/>
        </w:rPr>
        <w:t xml:space="preserve">For Immediate Release                                                                             </w:t>
      </w:r>
      <w:r w:rsidR="00E77C52">
        <w:rPr>
          <w:b/>
          <w:bCs/>
        </w:rPr>
        <w:t xml:space="preserve">          </w:t>
      </w:r>
      <w:r w:rsidR="00A60086">
        <w:rPr>
          <w:b/>
          <w:bCs/>
        </w:rPr>
        <w:t xml:space="preserve">     </w:t>
      </w:r>
      <w:r w:rsidR="00E77C52">
        <w:rPr>
          <w:b/>
          <w:bCs/>
        </w:rPr>
        <w:t xml:space="preserve">  </w:t>
      </w:r>
      <w:r w:rsidR="007E127D">
        <w:rPr>
          <w:b/>
          <w:bCs/>
        </w:rPr>
        <w:t>Tuesday June 4,</w:t>
      </w:r>
      <w:r>
        <w:rPr>
          <w:b/>
          <w:bCs/>
        </w:rPr>
        <w:t xml:space="preserve"> 2024</w:t>
      </w:r>
    </w:p>
    <w:p w14:paraId="3417FE57" w14:textId="77777777" w:rsidR="00ED3F18" w:rsidRDefault="00ED3F18" w:rsidP="00ED3F18">
      <w:pPr>
        <w:pStyle w:val="NoSpacing"/>
        <w:rPr>
          <w:b/>
          <w:bCs/>
        </w:rPr>
      </w:pPr>
    </w:p>
    <w:p w14:paraId="1785143E" w14:textId="77777777" w:rsidR="00ED3F18" w:rsidRDefault="00ED3F18" w:rsidP="00ED3F18">
      <w:pPr>
        <w:pStyle w:val="NoSpacing"/>
        <w:rPr>
          <w:b/>
          <w:bCs/>
        </w:rPr>
      </w:pPr>
    </w:p>
    <w:p w14:paraId="6D17232A" w14:textId="77777777" w:rsidR="00AC2C60" w:rsidRDefault="00AC2C60" w:rsidP="00ED3F18">
      <w:pPr>
        <w:pStyle w:val="NoSpacing"/>
        <w:rPr>
          <w:b/>
          <w:bCs/>
        </w:rPr>
      </w:pPr>
    </w:p>
    <w:p w14:paraId="0E7B1E34" w14:textId="6D9C65AB" w:rsidR="00AC2C60" w:rsidRPr="00AC2C60" w:rsidRDefault="00AC2C60" w:rsidP="00C14EAB">
      <w:pPr>
        <w:pStyle w:val="NoSpacing"/>
        <w:jc w:val="center"/>
        <w:rPr>
          <w:b/>
          <w:bCs/>
          <w:sz w:val="28"/>
          <w:szCs w:val="28"/>
        </w:rPr>
      </w:pPr>
      <w:r w:rsidRPr="00AC2C60">
        <w:rPr>
          <w:b/>
          <w:bCs/>
          <w:sz w:val="28"/>
          <w:szCs w:val="28"/>
        </w:rPr>
        <w:t>DP World Tour,</w:t>
      </w:r>
      <w:r w:rsidRPr="00797687">
        <w:rPr>
          <w:b/>
          <w:bCs/>
          <w:sz w:val="28"/>
          <w:szCs w:val="28"/>
        </w:rPr>
        <w:t xml:space="preserve"> </w:t>
      </w:r>
      <w:r w:rsidR="003B3241" w:rsidRPr="00797687">
        <w:rPr>
          <w:b/>
          <w:bCs/>
          <w:sz w:val="28"/>
          <w:szCs w:val="28"/>
        </w:rPr>
        <w:t xml:space="preserve">The </w:t>
      </w:r>
      <w:r w:rsidRPr="00AC2C60">
        <w:rPr>
          <w:b/>
          <w:bCs/>
          <w:sz w:val="28"/>
          <w:szCs w:val="28"/>
        </w:rPr>
        <w:t xml:space="preserve">R&amp;A and PGA TOUR launch </w:t>
      </w:r>
      <w:r w:rsidR="00A60086" w:rsidRPr="00AC2C60">
        <w:rPr>
          <w:b/>
          <w:bCs/>
          <w:sz w:val="28"/>
          <w:szCs w:val="28"/>
        </w:rPr>
        <w:t xml:space="preserve">Global Amateur Pathway </w:t>
      </w:r>
    </w:p>
    <w:p w14:paraId="20AFABBB" w14:textId="77777777" w:rsidR="00AC2C60" w:rsidRDefault="00AC2C60" w:rsidP="00C14EAB">
      <w:pPr>
        <w:pStyle w:val="NoSpacing"/>
        <w:jc w:val="center"/>
        <w:rPr>
          <w:b/>
          <w:bCs/>
          <w:sz w:val="32"/>
          <w:szCs w:val="32"/>
        </w:rPr>
      </w:pPr>
    </w:p>
    <w:p w14:paraId="303726E4" w14:textId="4B35EF24" w:rsidR="00AC2C60" w:rsidRDefault="00AC2C60" w:rsidP="00AC2C60">
      <w:pPr>
        <w:pStyle w:val="NoSpacing"/>
        <w:numPr>
          <w:ilvl w:val="0"/>
          <w:numId w:val="3"/>
        </w:numPr>
        <w:jc w:val="center"/>
        <w:rPr>
          <w:i/>
          <w:iCs/>
        </w:rPr>
      </w:pPr>
      <w:r w:rsidRPr="00AC2C60">
        <w:rPr>
          <w:i/>
          <w:iCs/>
        </w:rPr>
        <w:t xml:space="preserve">Initiative </w:t>
      </w:r>
      <w:r w:rsidR="00A60086" w:rsidRPr="00AC2C60">
        <w:rPr>
          <w:i/>
          <w:iCs/>
        </w:rPr>
        <w:t xml:space="preserve">creates </w:t>
      </w:r>
      <w:r w:rsidRPr="00AC2C60">
        <w:rPr>
          <w:i/>
          <w:iCs/>
        </w:rPr>
        <w:t xml:space="preserve">new </w:t>
      </w:r>
      <w:r w:rsidR="00A60086" w:rsidRPr="00AC2C60">
        <w:rPr>
          <w:i/>
          <w:iCs/>
        </w:rPr>
        <w:t>opportunities for world’s best amateur players</w:t>
      </w:r>
    </w:p>
    <w:p w14:paraId="5B323253" w14:textId="3B14C034" w:rsidR="00ED3F18" w:rsidRPr="00AC2C60" w:rsidRDefault="00AC2C60" w:rsidP="00AC2C60">
      <w:pPr>
        <w:pStyle w:val="NoSpacing"/>
        <w:numPr>
          <w:ilvl w:val="0"/>
          <w:numId w:val="3"/>
        </w:numPr>
        <w:jc w:val="center"/>
        <w:rPr>
          <w:i/>
          <w:iCs/>
        </w:rPr>
      </w:pPr>
      <w:r>
        <w:rPr>
          <w:i/>
          <w:iCs/>
        </w:rPr>
        <w:t>P</w:t>
      </w:r>
      <w:r w:rsidRPr="00AC2C60">
        <w:rPr>
          <w:i/>
          <w:iCs/>
        </w:rPr>
        <w:t xml:space="preserve">athways </w:t>
      </w:r>
      <w:r>
        <w:rPr>
          <w:i/>
          <w:iCs/>
        </w:rPr>
        <w:t xml:space="preserve">created </w:t>
      </w:r>
      <w:r w:rsidRPr="00AC2C60">
        <w:rPr>
          <w:i/>
          <w:iCs/>
        </w:rPr>
        <w:t xml:space="preserve">to the DP World Tour and eight global </w:t>
      </w:r>
      <w:r>
        <w:rPr>
          <w:i/>
          <w:iCs/>
        </w:rPr>
        <w:t>T</w:t>
      </w:r>
      <w:r w:rsidRPr="00AC2C60">
        <w:rPr>
          <w:i/>
          <w:iCs/>
        </w:rPr>
        <w:t>ours</w:t>
      </w:r>
    </w:p>
    <w:p w14:paraId="2FC17172" w14:textId="77777777" w:rsidR="00ED3F18" w:rsidRDefault="00ED3F18" w:rsidP="00ED3F18">
      <w:pPr>
        <w:pStyle w:val="NoSpacing"/>
        <w:rPr>
          <w:b/>
          <w:bCs/>
        </w:rPr>
      </w:pPr>
    </w:p>
    <w:p w14:paraId="02831506" w14:textId="48BCAF8D" w:rsidR="00ED3F18" w:rsidRPr="00A4739F" w:rsidRDefault="00A20EF6" w:rsidP="00ED3F18">
      <w:pPr>
        <w:pStyle w:val="NoSpacing"/>
        <w:rPr>
          <w:b/>
          <w:bCs/>
        </w:rPr>
      </w:pPr>
      <w:r>
        <w:rPr>
          <w:b/>
          <w:bCs/>
        </w:rPr>
        <w:br/>
      </w:r>
      <w:r w:rsidR="00ED3F18" w:rsidRPr="00A4739F">
        <w:rPr>
          <w:b/>
          <w:bCs/>
        </w:rPr>
        <w:t xml:space="preserve">Press </w:t>
      </w:r>
      <w:r w:rsidR="00ED3F18">
        <w:rPr>
          <w:b/>
          <w:bCs/>
        </w:rPr>
        <w:t>R</w:t>
      </w:r>
      <w:r w:rsidR="00ED3F18" w:rsidRPr="00A4739F">
        <w:rPr>
          <w:b/>
          <w:bCs/>
        </w:rPr>
        <w:t xml:space="preserve">elease </w:t>
      </w:r>
    </w:p>
    <w:p w14:paraId="79CA48AA" w14:textId="77777777" w:rsidR="00ED3F18" w:rsidRDefault="00ED3F18" w:rsidP="00ED3F18">
      <w:pPr>
        <w:pStyle w:val="NoSpacing"/>
      </w:pPr>
    </w:p>
    <w:p w14:paraId="34AE4613" w14:textId="78289917" w:rsidR="00A60086" w:rsidRPr="00A60086" w:rsidRDefault="00A60086" w:rsidP="00A60086">
      <w:pPr>
        <w:pStyle w:val="NoSpacing"/>
      </w:pPr>
      <w:r w:rsidRPr="00A60086">
        <w:t xml:space="preserve">The DP World Tour, </w:t>
      </w:r>
      <w:r w:rsidR="003B3241" w:rsidRPr="00797687">
        <w:t>T</w:t>
      </w:r>
      <w:r w:rsidR="004F6B54">
        <w:t>he</w:t>
      </w:r>
      <w:r w:rsidR="00BB059A" w:rsidRPr="00A60086">
        <w:t xml:space="preserve"> R&amp;A </w:t>
      </w:r>
      <w:r w:rsidR="00BB059A">
        <w:t xml:space="preserve">and the </w:t>
      </w:r>
      <w:r w:rsidRPr="00A60086">
        <w:t>PGA TOUR</w:t>
      </w:r>
      <w:r w:rsidR="004F6B54">
        <w:t xml:space="preserve"> have today launched the</w:t>
      </w:r>
      <w:r w:rsidRPr="00A60086">
        <w:t xml:space="preserve"> Global Amateur Pathway</w:t>
      </w:r>
      <w:r w:rsidR="004F6B54">
        <w:t xml:space="preserve"> </w:t>
      </w:r>
      <w:r w:rsidR="00D4105B">
        <w:t xml:space="preserve">– </w:t>
      </w:r>
      <w:r w:rsidR="007F64D4">
        <w:t>powered by the World Amateur Golf Ranking</w:t>
      </w:r>
      <w:r w:rsidR="00E27EC5">
        <w:rPr>
          <w:rFonts w:cstheme="minorHAnsi"/>
        </w:rPr>
        <w:t>®</w:t>
      </w:r>
      <w:r w:rsidR="00E27EC5">
        <w:t xml:space="preserve"> (WAGR</w:t>
      </w:r>
      <w:r w:rsidR="00E27EC5">
        <w:rPr>
          <w:rFonts w:cstheme="minorHAnsi"/>
        </w:rPr>
        <w:t>®</w:t>
      </w:r>
      <w:r w:rsidR="00E27EC5">
        <w:t>)</w:t>
      </w:r>
      <w:r w:rsidR="004F6B54">
        <w:t xml:space="preserve"> </w:t>
      </w:r>
      <w:r w:rsidR="00D4105B">
        <w:t>–</w:t>
      </w:r>
      <w:r w:rsidRPr="00A60086">
        <w:t xml:space="preserve"> to help the very best </w:t>
      </w:r>
      <w:r w:rsidR="00E27EC5">
        <w:t xml:space="preserve">male </w:t>
      </w:r>
      <w:r w:rsidRPr="00A60086">
        <w:t>amateur players take the next step in their careers.</w:t>
      </w:r>
    </w:p>
    <w:p w14:paraId="1CC324A4" w14:textId="77777777" w:rsidR="00A60086" w:rsidRPr="00A60086" w:rsidRDefault="00A60086" w:rsidP="00A60086">
      <w:pPr>
        <w:pStyle w:val="NoSpacing"/>
      </w:pPr>
    </w:p>
    <w:p w14:paraId="056163F9" w14:textId="5FB5AEB6" w:rsidR="00A60086" w:rsidRPr="00A60086" w:rsidRDefault="00A60086" w:rsidP="00A60086">
      <w:pPr>
        <w:pStyle w:val="NoSpacing"/>
      </w:pPr>
      <w:r w:rsidRPr="00A60086">
        <w:t>The landmark initiative creates a pathway for non-collegiate amateur players</w:t>
      </w:r>
      <w:r w:rsidR="00A20443">
        <w:t xml:space="preserve"> on</w:t>
      </w:r>
      <w:r w:rsidR="005F0051">
        <w:t xml:space="preserve"> to the DP World Tour and </w:t>
      </w:r>
      <w:r w:rsidR="00A20443">
        <w:t xml:space="preserve">partner </w:t>
      </w:r>
      <w:r w:rsidR="005F0051">
        <w:t>Tours around the world</w:t>
      </w:r>
      <w:r w:rsidR="004F6B54">
        <w:t xml:space="preserve">. The Global Amateur Pathway </w:t>
      </w:r>
      <w:r w:rsidRPr="00A60086">
        <w:t xml:space="preserve">will </w:t>
      </w:r>
      <w:r w:rsidR="004F6B54">
        <w:t xml:space="preserve">complement </w:t>
      </w:r>
      <w:r w:rsidRPr="00A60086">
        <w:t>PGA TOUR University</w:t>
      </w:r>
      <w:r w:rsidR="004F6B54">
        <w:t xml:space="preserve"> </w:t>
      </w:r>
      <w:r w:rsidR="00D4105B">
        <w:t>–</w:t>
      </w:r>
      <w:r w:rsidR="004F6B54">
        <w:t xml:space="preserve"> </w:t>
      </w:r>
      <w:r w:rsidR="004F6B54" w:rsidRPr="004F6B54">
        <w:t xml:space="preserve">which awards membership on PGA TOUR-sanctioned </w:t>
      </w:r>
      <w:r w:rsidR="00AC2C60">
        <w:t>T</w:t>
      </w:r>
      <w:r w:rsidR="004F6B54" w:rsidRPr="004F6B54">
        <w:t>ours to the top Division-I college golfers at the end of the NCAA Championship</w:t>
      </w:r>
      <w:r w:rsidR="004F6B54">
        <w:t xml:space="preserve"> </w:t>
      </w:r>
      <w:r w:rsidR="00D4105B">
        <w:t>–</w:t>
      </w:r>
      <w:r w:rsidR="004F6B54">
        <w:t xml:space="preserve"> </w:t>
      </w:r>
      <w:r w:rsidRPr="00A60086">
        <w:t xml:space="preserve">to ensure opportunities are available for </w:t>
      </w:r>
      <w:r w:rsidR="005F0051">
        <w:t>elite</w:t>
      </w:r>
      <w:r w:rsidRPr="00A60086">
        <w:t xml:space="preserve"> players across the amateur ranks.</w:t>
      </w:r>
    </w:p>
    <w:p w14:paraId="4D8497D6" w14:textId="77777777" w:rsidR="005F0051" w:rsidRPr="00A60086" w:rsidRDefault="005F0051" w:rsidP="00A60086">
      <w:pPr>
        <w:pStyle w:val="NoSpacing"/>
      </w:pPr>
    </w:p>
    <w:p w14:paraId="27424E43" w14:textId="43FBE11A" w:rsidR="00C00A2A" w:rsidRDefault="005F0051" w:rsidP="00C00A2A">
      <w:pPr>
        <w:pStyle w:val="NoSpacing"/>
      </w:pPr>
      <w:r>
        <w:t xml:space="preserve">Under the </w:t>
      </w:r>
      <w:r w:rsidRPr="00A60086">
        <w:t>Global Amateur Pathway</w:t>
      </w:r>
      <w:r>
        <w:t>, t</w:t>
      </w:r>
      <w:r w:rsidR="00A60086" w:rsidRPr="00A60086">
        <w:t xml:space="preserve">he best eligible non-collegiate </w:t>
      </w:r>
      <w:r w:rsidR="00BB6257">
        <w:t xml:space="preserve">male </w:t>
      </w:r>
      <w:r w:rsidR="00A60086" w:rsidRPr="00A60086">
        <w:t xml:space="preserve">amateur within the top 20 of the </w:t>
      </w:r>
      <w:r w:rsidR="00E27EC5">
        <w:t>WAGR</w:t>
      </w:r>
      <w:r w:rsidR="00E27EC5">
        <w:rPr>
          <w:rFonts w:cstheme="minorHAnsi"/>
        </w:rPr>
        <w:t>®</w:t>
      </w:r>
      <w:r w:rsidR="00AC2C60">
        <w:t xml:space="preserve"> </w:t>
      </w:r>
      <w:r w:rsidR="00A60086" w:rsidRPr="00A60086">
        <w:t>will receive a DP World Tour card for the following season.</w:t>
      </w:r>
      <w:r w:rsidR="00E27EC5">
        <w:t xml:space="preserve"> WAGR</w:t>
      </w:r>
      <w:r w:rsidR="00E27EC5">
        <w:rPr>
          <w:rFonts w:cstheme="minorHAnsi"/>
        </w:rPr>
        <w:t>®</w:t>
      </w:r>
      <w:r w:rsidR="004F6B54" w:rsidDel="007B0429">
        <w:t xml:space="preserve"> </w:t>
      </w:r>
      <w:r w:rsidR="004F6B54" w:rsidRPr="005F0051" w:rsidDel="007B0429">
        <w:t>comprises a women’s ranking and a men’s ranking for elite amateur players</w:t>
      </w:r>
      <w:r w:rsidR="004F6B54" w:rsidDel="007B0429">
        <w:t xml:space="preserve"> and</w:t>
      </w:r>
      <w:r w:rsidR="004F6B54" w:rsidRPr="005F0051" w:rsidDel="007B0429">
        <w:t xml:space="preserve"> is offered by </w:t>
      </w:r>
      <w:proofErr w:type="gramStart"/>
      <w:r w:rsidR="004F6B54" w:rsidRPr="005F0051" w:rsidDel="007B0429">
        <w:t>The</w:t>
      </w:r>
      <w:proofErr w:type="gramEnd"/>
      <w:r w:rsidR="004F6B54" w:rsidRPr="005F0051" w:rsidDel="007B0429">
        <w:t xml:space="preserve"> R&amp;A and the USGA</w:t>
      </w:r>
      <w:r w:rsidR="004F6B54" w:rsidDel="007B0429">
        <w:t xml:space="preserve"> </w:t>
      </w:r>
      <w:r w:rsidR="004F6B54" w:rsidRPr="005F0051" w:rsidDel="007B0429">
        <w:t>as a global service to golf.</w:t>
      </w:r>
      <w:r w:rsidR="006A4DAD">
        <w:t xml:space="preserve"> </w:t>
      </w:r>
      <w:r w:rsidR="00F34631" w:rsidRPr="00F34631">
        <w:t>Players competing in G</w:t>
      </w:r>
      <w:r w:rsidR="005708AB">
        <w:t>lobal Amateur Pathway</w:t>
      </w:r>
      <w:r w:rsidR="00F34631" w:rsidRPr="00F34631">
        <w:t xml:space="preserve"> </w:t>
      </w:r>
      <w:r w:rsidR="002B5934">
        <w:t>e</w:t>
      </w:r>
      <w:r w:rsidR="00F34631" w:rsidRPr="00F34631">
        <w:t xml:space="preserve">ligible </w:t>
      </w:r>
      <w:r w:rsidR="00F576CB">
        <w:t>championships</w:t>
      </w:r>
      <w:r w:rsidR="00F34631" w:rsidRPr="00F34631">
        <w:t xml:space="preserve"> earn points equivalent to the number of points awarded by </w:t>
      </w:r>
      <w:r w:rsidR="00E27EC5">
        <w:t>WAGR</w:t>
      </w:r>
      <w:r w:rsidR="00E27EC5">
        <w:rPr>
          <w:rFonts w:cstheme="minorHAnsi"/>
        </w:rPr>
        <w:t>®</w:t>
      </w:r>
      <w:r w:rsidR="00F34631" w:rsidRPr="00F34631">
        <w:t>.</w:t>
      </w:r>
    </w:p>
    <w:p w14:paraId="3365659E" w14:textId="77777777" w:rsidR="004F6B54" w:rsidRDefault="004F6B54" w:rsidP="00A60086">
      <w:pPr>
        <w:pStyle w:val="NoSpacing"/>
      </w:pPr>
    </w:p>
    <w:p w14:paraId="6488B15D" w14:textId="656A9528" w:rsidR="004F6B54" w:rsidRDefault="004F6B54" w:rsidP="004F6B54">
      <w:pPr>
        <w:pStyle w:val="NoSpacing"/>
      </w:pPr>
      <w:r w:rsidRPr="00D7700E" w:rsidDel="005C79BE">
        <w:t xml:space="preserve">The Global Amateur Pathway strengthens, and demonstrates the benefits of, the Strategic Alliances forged by the DP World Tour to provide global player pathways. </w:t>
      </w:r>
      <w:r w:rsidRPr="00D7700E">
        <w:t xml:space="preserve">As such, further exemptions will be available on the European Challenge Tour </w:t>
      </w:r>
      <w:r w:rsidR="00D7700E" w:rsidRPr="00D7700E">
        <w:t xml:space="preserve">– part of the European Tour Group </w:t>
      </w:r>
      <w:r w:rsidR="00D4105B">
        <w:t>–</w:t>
      </w:r>
      <w:r w:rsidR="00D7700E" w:rsidRPr="00D7700E">
        <w:t xml:space="preserve"> </w:t>
      </w:r>
      <w:r w:rsidR="00117425" w:rsidRPr="007876F9">
        <w:t xml:space="preserve">while </w:t>
      </w:r>
      <w:r w:rsidR="004046E6" w:rsidRPr="007876F9">
        <w:t>the DP World Tour</w:t>
      </w:r>
      <w:r w:rsidR="00F821D8">
        <w:t xml:space="preserve"> </w:t>
      </w:r>
      <w:r w:rsidR="00EE2E22" w:rsidRPr="007876F9">
        <w:t>and PGA TOUR a</w:t>
      </w:r>
      <w:r w:rsidR="004046E6" w:rsidRPr="007876F9">
        <w:t>re working with</w:t>
      </w:r>
      <w:r w:rsidRPr="007876F9">
        <w:t xml:space="preserve"> seven </w:t>
      </w:r>
      <w:r w:rsidR="00AC2C60" w:rsidRPr="007876F9">
        <w:t xml:space="preserve">further </w:t>
      </w:r>
      <w:r w:rsidRPr="007876F9">
        <w:t>partner Tours</w:t>
      </w:r>
      <w:r w:rsidR="002E1D08" w:rsidRPr="007876F9">
        <w:t xml:space="preserve">, </w:t>
      </w:r>
      <w:r w:rsidR="001049AB" w:rsidRPr="007876F9">
        <w:t>within their respective governance process and timelines,</w:t>
      </w:r>
      <w:r w:rsidR="002E1D08" w:rsidRPr="007876F9">
        <w:t xml:space="preserve"> to finalise their participatio</w:t>
      </w:r>
      <w:r w:rsidR="001049AB" w:rsidRPr="007876F9">
        <w:t>n</w:t>
      </w:r>
      <w:r w:rsidRPr="007876F9">
        <w:t>.</w:t>
      </w:r>
      <w:r w:rsidR="00B40BA3" w:rsidRPr="007876F9" w:rsidDel="007B0429">
        <w:t xml:space="preserve"> </w:t>
      </w:r>
      <w:r w:rsidR="00B40BA3" w:rsidRPr="00A60086" w:rsidDel="007B0429">
        <w:t>The</w:t>
      </w:r>
      <w:r w:rsidR="000950B6">
        <w:t xml:space="preserve"> first G</w:t>
      </w:r>
      <w:r w:rsidR="005708AB">
        <w:t>lobal Amateur Pathway</w:t>
      </w:r>
      <w:r w:rsidR="000950B6">
        <w:t xml:space="preserve"> </w:t>
      </w:r>
      <w:r w:rsidR="000950B6">
        <w:lastRenderedPageBreak/>
        <w:t xml:space="preserve">Ranking </w:t>
      </w:r>
      <w:r w:rsidR="00243805">
        <w:t xml:space="preserve">Period </w:t>
      </w:r>
      <w:r w:rsidR="000950B6">
        <w:t xml:space="preserve">will conclude </w:t>
      </w:r>
      <w:r w:rsidR="00E27EC5">
        <w:t xml:space="preserve">on </w:t>
      </w:r>
      <w:r w:rsidR="00F34631">
        <w:t xml:space="preserve">13 </w:t>
      </w:r>
      <w:r w:rsidR="000950B6">
        <w:t>October 2024 and the</w:t>
      </w:r>
      <w:r w:rsidR="00B40BA3" w:rsidRPr="00A60086" w:rsidDel="007B0429">
        <w:t xml:space="preserve"> first exemptions will be awarded for the 2025 season.</w:t>
      </w:r>
    </w:p>
    <w:p w14:paraId="0D4A652B" w14:textId="77777777" w:rsidR="00AC2C60" w:rsidRDefault="00AC2C60" w:rsidP="00D7700E">
      <w:pPr>
        <w:rPr>
          <w:rStyle w:val="Strong"/>
          <w:rFonts w:asciiTheme="minorHAnsi" w:hAnsiTheme="minorHAnsi" w:cstheme="minorBidi"/>
          <w:b w:val="0"/>
          <w:bCs w:val="0"/>
          <w:sz w:val="22"/>
          <w:szCs w:val="22"/>
        </w:rPr>
      </w:pPr>
    </w:p>
    <w:p w14:paraId="04D62AC6" w14:textId="0D040912" w:rsidR="00A373DB" w:rsidRDefault="004052E3" w:rsidP="00A373DB">
      <w:pPr>
        <w:rPr>
          <w:rStyle w:val="Strong"/>
          <w:rFonts w:asciiTheme="minorHAnsi" w:hAnsiTheme="minorHAnsi" w:cstheme="minorBidi"/>
          <w:b w:val="0"/>
          <w:bCs w:val="0"/>
          <w:sz w:val="22"/>
          <w:szCs w:val="22"/>
        </w:rPr>
      </w:pPr>
      <w:r>
        <w:rPr>
          <w:rStyle w:val="Strong"/>
          <w:rFonts w:asciiTheme="minorHAnsi" w:hAnsiTheme="minorHAnsi" w:cstheme="minorBidi"/>
          <w:b w:val="0"/>
          <w:bCs w:val="0"/>
          <w:sz w:val="22"/>
          <w:szCs w:val="22"/>
        </w:rPr>
        <w:t>S</w:t>
      </w:r>
      <w:r w:rsidRPr="00AC2C60">
        <w:rPr>
          <w:rStyle w:val="Strong"/>
          <w:rFonts w:asciiTheme="minorHAnsi" w:hAnsiTheme="minorHAnsi" w:cstheme="minorBidi"/>
          <w:b w:val="0"/>
          <w:bCs w:val="0"/>
          <w:sz w:val="22"/>
          <w:szCs w:val="22"/>
        </w:rPr>
        <w:t xml:space="preserve">everal </w:t>
      </w:r>
      <w:r w:rsidR="00AC2C60" w:rsidRPr="00AC2C60">
        <w:rPr>
          <w:rStyle w:val="Strong"/>
          <w:rFonts w:asciiTheme="minorHAnsi" w:hAnsiTheme="minorHAnsi" w:cstheme="minorBidi"/>
          <w:b w:val="0"/>
          <w:bCs w:val="0"/>
          <w:sz w:val="22"/>
          <w:szCs w:val="22"/>
        </w:rPr>
        <w:t>current PGA TOUR and DP World Tour members would have benefited</w:t>
      </w:r>
      <w:r>
        <w:rPr>
          <w:rStyle w:val="Strong"/>
          <w:rFonts w:asciiTheme="minorHAnsi" w:hAnsiTheme="minorHAnsi" w:cstheme="minorBidi"/>
          <w:b w:val="0"/>
          <w:bCs w:val="0"/>
          <w:sz w:val="22"/>
          <w:szCs w:val="22"/>
        </w:rPr>
        <w:t xml:space="preserve"> i</w:t>
      </w:r>
      <w:r w:rsidRPr="00AC2C60">
        <w:rPr>
          <w:rStyle w:val="Strong"/>
          <w:rFonts w:asciiTheme="minorHAnsi" w:hAnsiTheme="minorHAnsi" w:cstheme="minorBidi"/>
          <w:b w:val="0"/>
          <w:bCs w:val="0"/>
          <w:sz w:val="22"/>
          <w:szCs w:val="22"/>
        </w:rPr>
        <w:t>f</w:t>
      </w:r>
      <w:r>
        <w:rPr>
          <w:rStyle w:val="Strong"/>
          <w:rFonts w:asciiTheme="minorHAnsi" w:hAnsiTheme="minorHAnsi" w:cstheme="minorBidi"/>
          <w:b w:val="0"/>
          <w:bCs w:val="0"/>
          <w:sz w:val="22"/>
          <w:szCs w:val="22"/>
        </w:rPr>
        <w:t xml:space="preserve"> the Global Amateur </w:t>
      </w:r>
      <w:r w:rsidRPr="00AC2C60">
        <w:rPr>
          <w:rStyle w:val="Strong"/>
          <w:rFonts w:asciiTheme="minorHAnsi" w:hAnsiTheme="minorHAnsi" w:cstheme="minorBidi"/>
          <w:b w:val="0"/>
          <w:bCs w:val="0"/>
          <w:sz w:val="22"/>
          <w:szCs w:val="22"/>
        </w:rPr>
        <w:t>P</w:t>
      </w:r>
      <w:r>
        <w:rPr>
          <w:rStyle w:val="Strong"/>
          <w:rFonts w:asciiTheme="minorHAnsi" w:hAnsiTheme="minorHAnsi" w:cstheme="minorBidi"/>
          <w:b w:val="0"/>
          <w:bCs w:val="0"/>
          <w:sz w:val="22"/>
          <w:szCs w:val="22"/>
        </w:rPr>
        <w:t>athway</w:t>
      </w:r>
      <w:r w:rsidRPr="00AC2C60">
        <w:rPr>
          <w:rStyle w:val="Strong"/>
          <w:rFonts w:asciiTheme="minorHAnsi" w:hAnsiTheme="minorHAnsi" w:cstheme="minorBidi"/>
          <w:b w:val="0"/>
          <w:bCs w:val="0"/>
          <w:sz w:val="22"/>
          <w:szCs w:val="22"/>
        </w:rPr>
        <w:t xml:space="preserve"> had previously existed</w:t>
      </w:r>
      <w:r w:rsidR="007D7513">
        <w:rPr>
          <w:rStyle w:val="Strong"/>
          <w:rFonts w:asciiTheme="minorHAnsi" w:hAnsiTheme="minorHAnsi" w:cstheme="minorBidi"/>
          <w:b w:val="0"/>
          <w:bCs w:val="0"/>
          <w:sz w:val="22"/>
          <w:szCs w:val="22"/>
        </w:rPr>
        <w:t xml:space="preserve">. Players such as </w:t>
      </w:r>
      <w:r w:rsidR="00AC2C60" w:rsidRPr="00AC2C60">
        <w:rPr>
          <w:rStyle w:val="Strong"/>
          <w:rFonts w:asciiTheme="minorHAnsi" w:hAnsiTheme="minorHAnsi" w:cstheme="minorBidi"/>
          <w:b w:val="0"/>
          <w:bCs w:val="0"/>
          <w:sz w:val="22"/>
          <w:szCs w:val="22"/>
        </w:rPr>
        <w:t>Tommy Fleetwood (Southport, England), Hideki Matsuyama (Ehime, Japan)</w:t>
      </w:r>
      <w:r w:rsidR="005708AB">
        <w:rPr>
          <w:rStyle w:val="Strong"/>
          <w:rFonts w:asciiTheme="minorHAnsi" w:hAnsiTheme="minorHAnsi" w:cstheme="minorBidi"/>
          <w:b w:val="0"/>
          <w:bCs w:val="0"/>
          <w:sz w:val="22"/>
          <w:szCs w:val="22"/>
        </w:rPr>
        <w:t xml:space="preserve"> and </w:t>
      </w:r>
      <w:r w:rsidR="00AC2C60" w:rsidRPr="00AC2C60">
        <w:rPr>
          <w:rStyle w:val="Strong"/>
          <w:rFonts w:asciiTheme="minorHAnsi" w:hAnsiTheme="minorHAnsi" w:cstheme="minorBidi"/>
          <w:b w:val="0"/>
          <w:bCs w:val="0"/>
          <w:sz w:val="22"/>
          <w:szCs w:val="22"/>
        </w:rPr>
        <w:t>Min Woo Lee (Perth, Australia) were accomplished amateurs who relied on sponsor exemptions to begin their professional careers</w:t>
      </w:r>
      <w:r w:rsidR="007D7513">
        <w:rPr>
          <w:rStyle w:val="Strong"/>
          <w:rFonts w:asciiTheme="minorHAnsi" w:hAnsiTheme="minorHAnsi" w:cstheme="minorBidi"/>
          <w:b w:val="0"/>
          <w:bCs w:val="0"/>
          <w:sz w:val="22"/>
          <w:szCs w:val="22"/>
        </w:rPr>
        <w:t xml:space="preserve">. </w:t>
      </w:r>
      <w:r w:rsidR="00A373DB" w:rsidRPr="00A373DB">
        <w:rPr>
          <w:rStyle w:val="Strong"/>
          <w:rFonts w:asciiTheme="minorHAnsi" w:hAnsiTheme="minorHAnsi" w:cstheme="minorBidi"/>
          <w:b w:val="0"/>
          <w:bCs w:val="0"/>
          <w:sz w:val="22"/>
          <w:szCs w:val="22"/>
        </w:rPr>
        <w:t>Fleetwood was runner-up at the 2008 Amateur Championship and represented GB&amp;I at the 2009 Walker Cup</w:t>
      </w:r>
      <w:r w:rsidR="00A373DB">
        <w:rPr>
          <w:rStyle w:val="Strong"/>
          <w:rFonts w:asciiTheme="minorHAnsi" w:hAnsiTheme="minorHAnsi" w:cstheme="minorBidi"/>
          <w:b w:val="0"/>
          <w:bCs w:val="0"/>
          <w:sz w:val="22"/>
          <w:szCs w:val="22"/>
        </w:rPr>
        <w:t xml:space="preserve">; </w:t>
      </w:r>
      <w:r w:rsidR="00A373DB" w:rsidRPr="00A373DB">
        <w:rPr>
          <w:rStyle w:val="Strong"/>
          <w:rFonts w:asciiTheme="minorHAnsi" w:hAnsiTheme="minorHAnsi" w:cstheme="minorBidi"/>
          <w:b w:val="0"/>
          <w:bCs w:val="0"/>
          <w:sz w:val="22"/>
          <w:szCs w:val="22"/>
        </w:rPr>
        <w:t xml:space="preserve">Matsuyama </w:t>
      </w:r>
      <w:r w:rsidR="00A373DB">
        <w:rPr>
          <w:rStyle w:val="Strong"/>
          <w:rFonts w:asciiTheme="minorHAnsi" w:hAnsiTheme="minorHAnsi" w:cstheme="minorBidi"/>
          <w:b w:val="0"/>
          <w:bCs w:val="0"/>
          <w:sz w:val="22"/>
          <w:szCs w:val="22"/>
        </w:rPr>
        <w:t xml:space="preserve">was </w:t>
      </w:r>
      <w:r w:rsidR="00A373DB" w:rsidRPr="00A373DB">
        <w:rPr>
          <w:rStyle w:val="Strong"/>
          <w:rFonts w:asciiTheme="minorHAnsi" w:hAnsiTheme="minorHAnsi" w:cstheme="minorBidi"/>
          <w:b w:val="0"/>
          <w:bCs w:val="0"/>
          <w:sz w:val="22"/>
          <w:szCs w:val="22"/>
        </w:rPr>
        <w:t>a two-time winner of the Asia-Pacific Amateur Championship and became the first Japanese male to rise to No. 1 in WAGR</w:t>
      </w:r>
      <w:r w:rsidR="00A373DB">
        <w:rPr>
          <w:rStyle w:val="Strong"/>
          <w:rFonts w:asciiTheme="minorHAnsi" w:hAnsiTheme="minorHAnsi" w:cstheme="minorBidi"/>
          <w:b w:val="0"/>
          <w:bCs w:val="0"/>
          <w:sz w:val="22"/>
          <w:szCs w:val="22"/>
        </w:rPr>
        <w:t xml:space="preserve">; and </w:t>
      </w:r>
      <w:r w:rsidR="00A373DB" w:rsidRPr="00A373DB">
        <w:rPr>
          <w:rStyle w:val="Strong"/>
          <w:rFonts w:asciiTheme="minorHAnsi" w:hAnsiTheme="minorHAnsi" w:cstheme="minorBidi"/>
          <w:b w:val="0"/>
          <w:bCs w:val="0"/>
          <w:sz w:val="22"/>
          <w:szCs w:val="22"/>
        </w:rPr>
        <w:t>Lee made two appearances in the Asia-Pacific Amateur Championship</w:t>
      </w:r>
      <w:r w:rsidR="00E27EC5">
        <w:rPr>
          <w:rStyle w:val="Strong"/>
          <w:rFonts w:asciiTheme="minorHAnsi" w:hAnsiTheme="minorHAnsi" w:cstheme="minorBidi"/>
          <w:b w:val="0"/>
          <w:bCs w:val="0"/>
          <w:sz w:val="22"/>
          <w:szCs w:val="22"/>
        </w:rPr>
        <w:t>, including a tied third finish in 2017,</w:t>
      </w:r>
      <w:r w:rsidR="00A373DB" w:rsidRPr="00A373DB">
        <w:rPr>
          <w:rStyle w:val="Strong"/>
          <w:rFonts w:asciiTheme="minorHAnsi" w:hAnsiTheme="minorHAnsi" w:cstheme="minorBidi"/>
          <w:b w:val="0"/>
          <w:bCs w:val="0"/>
          <w:sz w:val="22"/>
          <w:szCs w:val="22"/>
        </w:rPr>
        <w:t xml:space="preserve"> </w:t>
      </w:r>
      <w:r w:rsidR="008C5352">
        <w:rPr>
          <w:rStyle w:val="Strong"/>
          <w:rFonts w:asciiTheme="minorHAnsi" w:hAnsiTheme="minorHAnsi" w:cstheme="minorBidi"/>
          <w:b w:val="0"/>
          <w:bCs w:val="0"/>
          <w:sz w:val="22"/>
          <w:szCs w:val="22"/>
        </w:rPr>
        <w:t xml:space="preserve">and </w:t>
      </w:r>
      <w:r w:rsidR="00A373DB" w:rsidRPr="00A373DB">
        <w:rPr>
          <w:rStyle w:val="Strong"/>
          <w:rFonts w:asciiTheme="minorHAnsi" w:hAnsiTheme="minorHAnsi" w:cstheme="minorBidi"/>
          <w:b w:val="0"/>
          <w:bCs w:val="0"/>
          <w:sz w:val="22"/>
          <w:szCs w:val="22"/>
        </w:rPr>
        <w:t>represented Australia at the 2018 World Amateur Team Championship, where he finished T6.</w:t>
      </w:r>
    </w:p>
    <w:p w14:paraId="46C67F0D" w14:textId="77777777" w:rsidR="00A373DB" w:rsidRDefault="00A373DB" w:rsidP="00D7700E">
      <w:pPr>
        <w:rPr>
          <w:rStyle w:val="Strong"/>
          <w:rFonts w:asciiTheme="minorHAnsi" w:hAnsiTheme="minorHAnsi" w:cstheme="minorBidi"/>
          <w:b w:val="0"/>
          <w:bCs w:val="0"/>
          <w:sz w:val="22"/>
          <w:szCs w:val="22"/>
        </w:rPr>
      </w:pPr>
    </w:p>
    <w:p w14:paraId="01CD741E" w14:textId="192BF79A" w:rsidR="00AC2C60" w:rsidRDefault="007D7513" w:rsidP="00D7700E">
      <w:pPr>
        <w:rPr>
          <w:rStyle w:val="Strong"/>
          <w:rFonts w:asciiTheme="minorHAnsi" w:hAnsiTheme="minorHAnsi" w:cstheme="minorBidi"/>
          <w:b w:val="0"/>
          <w:bCs w:val="0"/>
          <w:sz w:val="22"/>
          <w:szCs w:val="22"/>
        </w:rPr>
      </w:pPr>
      <w:r>
        <w:rPr>
          <w:rStyle w:val="Strong"/>
          <w:rFonts w:asciiTheme="minorHAnsi" w:hAnsiTheme="minorHAnsi" w:cstheme="minorBidi"/>
          <w:b w:val="0"/>
          <w:bCs w:val="0"/>
          <w:sz w:val="22"/>
          <w:szCs w:val="22"/>
        </w:rPr>
        <w:t>The Global Amateur Pathway</w:t>
      </w:r>
      <w:r w:rsidR="00AC2C60" w:rsidRPr="00AC2C60">
        <w:rPr>
          <w:rStyle w:val="Strong"/>
          <w:rFonts w:asciiTheme="minorHAnsi" w:hAnsiTheme="minorHAnsi" w:cstheme="minorBidi"/>
          <w:b w:val="0"/>
          <w:bCs w:val="0"/>
          <w:sz w:val="22"/>
          <w:szCs w:val="22"/>
        </w:rPr>
        <w:t xml:space="preserve"> would have provided these players with professional membership and a clear path forward as they worked toward careers on the PGA TOUR and DP World Tour.</w:t>
      </w:r>
    </w:p>
    <w:p w14:paraId="7F523958" w14:textId="77777777" w:rsidR="00A60086" w:rsidRPr="00A60086" w:rsidRDefault="00A60086" w:rsidP="00A60086">
      <w:pPr>
        <w:pStyle w:val="NoSpacing"/>
      </w:pPr>
    </w:p>
    <w:p w14:paraId="00E4A94F" w14:textId="1454166B" w:rsidR="005708AB" w:rsidRPr="00797687" w:rsidRDefault="00A4732E" w:rsidP="00A60086">
      <w:pPr>
        <w:pStyle w:val="NoSpacing"/>
      </w:pPr>
      <w:r w:rsidRPr="00797687">
        <w:t>Guy Kinnings</w:t>
      </w:r>
      <w:r w:rsidR="00A60086" w:rsidRPr="00797687">
        <w:t>, DP World Tour Chief Executive, said: “We are delighted to offer the very best amateur players new opportunities through the Global Amateur Pathway</w:t>
      </w:r>
      <w:r w:rsidR="005708AB" w:rsidRPr="00797687">
        <w:t xml:space="preserve">, alongside our partners at </w:t>
      </w:r>
      <w:proofErr w:type="gramStart"/>
      <w:r w:rsidR="003B3241" w:rsidRPr="00797687">
        <w:t>T</w:t>
      </w:r>
      <w:r w:rsidR="005708AB" w:rsidRPr="00797687">
        <w:t>he</w:t>
      </w:r>
      <w:proofErr w:type="gramEnd"/>
      <w:r w:rsidR="005708AB" w:rsidRPr="00797687">
        <w:t xml:space="preserve"> R&amp;A and PGA TOUR.</w:t>
      </w:r>
      <w:r w:rsidR="00A60086" w:rsidRPr="00797687">
        <w:t xml:space="preserve"> </w:t>
      </w:r>
    </w:p>
    <w:p w14:paraId="3162F30F" w14:textId="77777777" w:rsidR="005708AB" w:rsidRPr="00797687" w:rsidRDefault="005708AB" w:rsidP="00A60086">
      <w:pPr>
        <w:pStyle w:val="NoSpacing"/>
      </w:pPr>
    </w:p>
    <w:p w14:paraId="4A1B491A" w14:textId="030EA4F5" w:rsidR="00A60086" w:rsidRPr="00797687" w:rsidRDefault="005708AB" w:rsidP="00A60086">
      <w:pPr>
        <w:pStyle w:val="NoSpacing"/>
      </w:pPr>
      <w:r w:rsidRPr="00797687">
        <w:t>“</w:t>
      </w:r>
      <w:r w:rsidR="00A60086" w:rsidRPr="00797687">
        <w:t xml:space="preserve">This initiative is the perfect example of the benefits that come from the Strategic Alliances and partnerships that we have forged across the game of golf. The very best amateur players now have similar opportunities to their professional counterparts, with clear pathways across the globe to ultimately compete at the pinnacle of the game. </w:t>
      </w:r>
    </w:p>
    <w:p w14:paraId="37CCF6B6" w14:textId="77777777" w:rsidR="00A60086" w:rsidRPr="00797687" w:rsidRDefault="00A60086" w:rsidP="00A60086">
      <w:pPr>
        <w:pStyle w:val="NoSpacing"/>
      </w:pPr>
    </w:p>
    <w:p w14:paraId="106EF403" w14:textId="03F20FD3" w:rsidR="00A60086" w:rsidRPr="00797687" w:rsidRDefault="00A60086" w:rsidP="00A60086">
      <w:pPr>
        <w:pStyle w:val="NoSpacing"/>
      </w:pPr>
      <w:r w:rsidRPr="00797687">
        <w:t>“This complements the opportunities for collegiate players via PGA TOUR University, and there is no better example of the benefits of that programme than young European Ryder Cup star Ludvig Aberg, who has grasped every opportunity that has come his way with both hands.</w:t>
      </w:r>
    </w:p>
    <w:p w14:paraId="0B93C121" w14:textId="77777777" w:rsidR="00A60086" w:rsidRPr="00CF0196" w:rsidRDefault="00A60086" w:rsidP="00A60086">
      <w:pPr>
        <w:pStyle w:val="NoSpacing"/>
        <w:rPr>
          <w:i/>
          <w:iCs/>
        </w:rPr>
      </w:pPr>
    </w:p>
    <w:p w14:paraId="3E64BEA5" w14:textId="3B21087D" w:rsidR="00A60086" w:rsidRPr="00797687" w:rsidRDefault="00A60086" w:rsidP="00A60086">
      <w:pPr>
        <w:pStyle w:val="NoSpacing"/>
      </w:pPr>
      <w:r w:rsidRPr="00797687">
        <w:t xml:space="preserve">“Our thanks go to </w:t>
      </w:r>
      <w:proofErr w:type="gramStart"/>
      <w:r w:rsidR="003B3241" w:rsidRPr="00797687">
        <w:t>T</w:t>
      </w:r>
      <w:r w:rsidRPr="00797687">
        <w:t>he</w:t>
      </w:r>
      <w:proofErr w:type="gramEnd"/>
      <w:r w:rsidRPr="00797687">
        <w:t xml:space="preserve"> R&amp;A </w:t>
      </w:r>
      <w:r w:rsidR="00CF0196" w:rsidRPr="00797687">
        <w:t xml:space="preserve">and PGA TOUR, </w:t>
      </w:r>
      <w:r w:rsidRPr="00797687">
        <w:t>and to each of the Tours</w:t>
      </w:r>
      <w:r w:rsidR="005708AB" w:rsidRPr="00797687">
        <w:t xml:space="preserve"> </w:t>
      </w:r>
      <w:r w:rsidRPr="00797687">
        <w:t xml:space="preserve">who are coming together to make this dream a reality for the next generation of amateur players.” </w:t>
      </w:r>
    </w:p>
    <w:p w14:paraId="72127818" w14:textId="77777777" w:rsidR="004D431B" w:rsidRPr="00797687" w:rsidRDefault="004D431B" w:rsidP="004D431B">
      <w:pPr>
        <w:pStyle w:val="NoSpacing"/>
      </w:pPr>
    </w:p>
    <w:p w14:paraId="2E03AF15" w14:textId="5F09ABED" w:rsidR="003B3241" w:rsidRPr="00797687" w:rsidRDefault="003B3241" w:rsidP="003B3241">
      <w:pPr>
        <w:pStyle w:val="NoSpacing"/>
      </w:pPr>
      <w:r w:rsidRPr="00797687">
        <w:t xml:space="preserve">Martin Slumbers, CEO of </w:t>
      </w:r>
      <w:proofErr w:type="gramStart"/>
      <w:r w:rsidRPr="00797687">
        <w:t>The</w:t>
      </w:r>
      <w:proofErr w:type="gramEnd"/>
      <w:r w:rsidRPr="00797687">
        <w:t xml:space="preserve"> R&amp;A, said, “We are delighted to work in partnership with the DP World Tour and the PGA TOUR </w:t>
      </w:r>
      <w:r w:rsidR="00E9405F" w:rsidRPr="00797687">
        <w:t xml:space="preserve">to </w:t>
      </w:r>
      <w:r w:rsidRPr="00797687">
        <w:t>launch the Global Amateur Pathway.</w:t>
      </w:r>
    </w:p>
    <w:p w14:paraId="16B2F9C9" w14:textId="77777777" w:rsidR="003B3241" w:rsidRPr="00797687" w:rsidRDefault="003B3241" w:rsidP="003B3241">
      <w:pPr>
        <w:pStyle w:val="NoSpacing"/>
      </w:pPr>
    </w:p>
    <w:p w14:paraId="5E60911E" w14:textId="6D14D57D" w:rsidR="003B3241" w:rsidRPr="00797687" w:rsidRDefault="003B3241" w:rsidP="003B3241">
      <w:pPr>
        <w:pStyle w:val="NoSpacing"/>
      </w:pPr>
      <w:r w:rsidRPr="00797687">
        <w:t>“</w:t>
      </w:r>
      <w:r w:rsidR="00A5112E" w:rsidRPr="00797687">
        <w:t xml:space="preserve">We care deeply about amateur golf </w:t>
      </w:r>
      <w:r w:rsidR="00250302" w:rsidRPr="00797687">
        <w:t xml:space="preserve">and </w:t>
      </w:r>
      <w:r w:rsidR="00C3376F" w:rsidRPr="00797687">
        <w:t>developing pathways for</w:t>
      </w:r>
      <w:r w:rsidR="0033649D" w:rsidRPr="00797687">
        <w:t xml:space="preserve"> the most</w:t>
      </w:r>
      <w:r w:rsidR="00250302" w:rsidRPr="00797687">
        <w:t xml:space="preserve"> talented players </w:t>
      </w:r>
      <w:r w:rsidR="00E9405F" w:rsidRPr="00797687">
        <w:t>from</w:t>
      </w:r>
      <w:r w:rsidR="000808B9" w:rsidRPr="00797687">
        <w:t xml:space="preserve"> different regions of the world</w:t>
      </w:r>
      <w:r w:rsidRPr="00797687">
        <w:t xml:space="preserve"> is </w:t>
      </w:r>
      <w:r w:rsidR="00601D3F" w:rsidRPr="00797687">
        <w:t>one of our</w:t>
      </w:r>
      <w:r w:rsidRPr="00797687">
        <w:t xml:space="preserve"> fundamental priorit</w:t>
      </w:r>
      <w:r w:rsidR="00601D3F" w:rsidRPr="00797687">
        <w:t>ies</w:t>
      </w:r>
      <w:r w:rsidR="00F028C1" w:rsidRPr="00797687">
        <w:t xml:space="preserve">. </w:t>
      </w:r>
      <w:r w:rsidR="00F63E2A" w:rsidRPr="00797687">
        <w:t>I</w:t>
      </w:r>
      <w:r w:rsidR="00F028C1" w:rsidRPr="00797687">
        <w:t>t</w:t>
      </w:r>
      <w:r w:rsidRPr="00797687">
        <w:t xml:space="preserve"> </w:t>
      </w:r>
      <w:r w:rsidR="004457AA" w:rsidRPr="00797687">
        <w:t xml:space="preserve">is </w:t>
      </w:r>
      <w:r w:rsidRPr="00797687">
        <w:t xml:space="preserve">key to the sustainable future of the sport. </w:t>
      </w:r>
    </w:p>
    <w:p w14:paraId="11F510A3" w14:textId="77777777" w:rsidR="003B3241" w:rsidRPr="00797687" w:rsidRDefault="003B3241" w:rsidP="003B3241">
      <w:pPr>
        <w:pStyle w:val="NoSpacing"/>
      </w:pPr>
    </w:p>
    <w:p w14:paraId="49961BCB" w14:textId="00F3C152" w:rsidR="004D431B" w:rsidRPr="00797687" w:rsidRDefault="003B3241" w:rsidP="003B3241">
      <w:pPr>
        <w:pStyle w:val="NoSpacing"/>
      </w:pPr>
      <w:r w:rsidRPr="00797687">
        <w:t>“We continue to create opportunities</w:t>
      </w:r>
      <w:r w:rsidR="0069496E" w:rsidRPr="00797687">
        <w:t xml:space="preserve"> for elite amateurs to compete </w:t>
      </w:r>
      <w:r w:rsidR="00ED4943" w:rsidRPr="00797687">
        <w:t>at the highest level</w:t>
      </w:r>
      <w:r w:rsidRPr="00797687">
        <w:t xml:space="preserve"> through our leading amateur championships and the Global Amateur Pathway provides th</w:t>
      </w:r>
      <w:r w:rsidR="00325386" w:rsidRPr="00797687">
        <w:t>e</w:t>
      </w:r>
      <w:r w:rsidR="0001386C" w:rsidRPr="00797687">
        <w:t xml:space="preserve"> </w:t>
      </w:r>
      <w:r w:rsidR="00ED4943" w:rsidRPr="00797687">
        <w:t xml:space="preserve">players </w:t>
      </w:r>
      <w:r w:rsidRPr="00797687">
        <w:t>with a route to the professional ranks. We look forward to watching the</w:t>
      </w:r>
      <w:r w:rsidR="0001386C" w:rsidRPr="00797687">
        <w:t>m</w:t>
      </w:r>
      <w:r w:rsidRPr="00797687">
        <w:t xml:space="preserve"> progress in their careers</w:t>
      </w:r>
      <w:r w:rsidR="002072B6" w:rsidRPr="00797687">
        <w:t xml:space="preserve"> and will </w:t>
      </w:r>
      <w:r w:rsidR="008E427B" w:rsidRPr="00797687">
        <w:t xml:space="preserve">now </w:t>
      </w:r>
      <w:r w:rsidR="002072B6" w:rsidRPr="00797687">
        <w:t>explore the opportunities to introduce a similar pathway in the women’s game</w:t>
      </w:r>
      <w:r w:rsidRPr="00797687">
        <w:t>.”</w:t>
      </w:r>
    </w:p>
    <w:p w14:paraId="07838C4A" w14:textId="77777777" w:rsidR="004D431B" w:rsidRPr="00A60086" w:rsidRDefault="004D431B" w:rsidP="00A60086">
      <w:pPr>
        <w:pStyle w:val="NoSpacing"/>
      </w:pPr>
    </w:p>
    <w:p w14:paraId="75B761AF" w14:textId="77777777" w:rsidR="00E86BDC" w:rsidRPr="00A60086" w:rsidRDefault="00E86BDC" w:rsidP="00E86BDC">
      <w:pPr>
        <w:pStyle w:val="NoSpacing"/>
        <w:rPr>
          <w:color w:val="FF0000"/>
        </w:rPr>
      </w:pPr>
      <w:r>
        <w:rPr>
          <w:rStyle w:val="ui-provider"/>
        </w:rPr>
        <w:t xml:space="preserve">“We are thrilled to partner with the DP World Tour and </w:t>
      </w:r>
      <w:proofErr w:type="gramStart"/>
      <w:r>
        <w:rPr>
          <w:rStyle w:val="ui-provider"/>
        </w:rPr>
        <w:t>The</w:t>
      </w:r>
      <w:proofErr w:type="gramEnd"/>
      <w:r>
        <w:rPr>
          <w:rStyle w:val="ui-provider"/>
        </w:rPr>
        <w:t xml:space="preserve"> R&amp;A to take another step forward in strengthening the pathway for amateur athletes as they transition to professional golf,” said PGA TOUR Commissioner Jay Monahan. “Building on the success of PGA TOUR University over the last four years, the Global Amateur Pathway will ensure the best young players from around the world can earn their way onto golf’s biggest stages more efficiently than ever before.”</w:t>
      </w:r>
    </w:p>
    <w:p w14:paraId="68486E61" w14:textId="77777777" w:rsidR="00FB1E1D" w:rsidRDefault="00FB1E1D" w:rsidP="00A60086">
      <w:pPr>
        <w:pStyle w:val="NoSpacing"/>
        <w:rPr>
          <w:color w:val="FF0000"/>
        </w:rPr>
      </w:pPr>
    </w:p>
    <w:p w14:paraId="36438069" w14:textId="052D0ABD" w:rsidR="00210A7F" w:rsidRPr="00210A7F" w:rsidRDefault="00210A7F" w:rsidP="00210A7F">
      <w:pPr>
        <w:pStyle w:val="NoSpacing"/>
      </w:pPr>
      <w:r w:rsidRPr="00210A7F">
        <w:lastRenderedPageBreak/>
        <w:t>To be eligible for the Global Amateur Pathway Ranking, amateur golfers must</w:t>
      </w:r>
      <w:r w:rsidR="004D431B">
        <w:t xml:space="preserve"> meet the following criteria:</w:t>
      </w:r>
    </w:p>
    <w:p w14:paraId="235201D8" w14:textId="77777777" w:rsidR="00210A7F" w:rsidRPr="00210A7F" w:rsidRDefault="00210A7F" w:rsidP="00210A7F">
      <w:pPr>
        <w:pStyle w:val="NoSpacing"/>
      </w:pPr>
    </w:p>
    <w:p w14:paraId="01BC95B4" w14:textId="77777777" w:rsidR="00210A7F" w:rsidRPr="00210A7F" w:rsidRDefault="00210A7F" w:rsidP="00210A7F">
      <w:pPr>
        <w:pStyle w:val="NoSpacing"/>
        <w:numPr>
          <w:ilvl w:val="0"/>
          <w:numId w:val="2"/>
        </w:numPr>
      </w:pPr>
      <w:r w:rsidRPr="00210A7F">
        <w:t xml:space="preserve">Not be a current NCAA Division-I player. </w:t>
      </w:r>
    </w:p>
    <w:p w14:paraId="680B2F05" w14:textId="77777777" w:rsidR="00210A7F" w:rsidRPr="00210A7F" w:rsidRDefault="00210A7F" w:rsidP="00210A7F">
      <w:pPr>
        <w:pStyle w:val="NoSpacing"/>
        <w:numPr>
          <w:ilvl w:val="0"/>
          <w:numId w:val="2"/>
        </w:numPr>
      </w:pPr>
      <w:r w:rsidRPr="00210A7F">
        <w:t>Be at least 20 years of age by the end of the calendar year of the relevant Ranking Period.</w:t>
      </w:r>
    </w:p>
    <w:p w14:paraId="5F8D090B" w14:textId="54768789" w:rsidR="00210A7F" w:rsidRPr="00210A7F" w:rsidRDefault="00210A7F" w:rsidP="00210A7F">
      <w:pPr>
        <w:pStyle w:val="NoSpacing"/>
        <w:numPr>
          <w:ilvl w:val="0"/>
          <w:numId w:val="2"/>
        </w:numPr>
      </w:pPr>
      <w:r w:rsidRPr="00210A7F">
        <w:t xml:space="preserve">Be within the top 200 </w:t>
      </w:r>
      <w:r w:rsidR="00E27EC5">
        <w:t>WAGR</w:t>
      </w:r>
      <w:r w:rsidR="00E27EC5">
        <w:rPr>
          <w:rFonts w:cstheme="minorHAnsi"/>
        </w:rPr>
        <w:t>®</w:t>
      </w:r>
      <w:r w:rsidRPr="00210A7F">
        <w:t xml:space="preserve"> </w:t>
      </w:r>
    </w:p>
    <w:p w14:paraId="35D48C4B" w14:textId="1B970FF6" w:rsidR="00210A7F" w:rsidRDefault="00210A7F" w:rsidP="00210A7F">
      <w:pPr>
        <w:pStyle w:val="NoSpacing"/>
        <w:numPr>
          <w:ilvl w:val="0"/>
          <w:numId w:val="2"/>
        </w:numPr>
      </w:pPr>
      <w:r w:rsidRPr="00210A7F">
        <w:t xml:space="preserve">Players who are outside the top 200 </w:t>
      </w:r>
      <w:r w:rsidR="00E27EC5">
        <w:t>WAGR</w:t>
      </w:r>
      <w:r w:rsidR="00E27EC5">
        <w:rPr>
          <w:rFonts w:cstheme="minorHAnsi"/>
        </w:rPr>
        <w:t>®</w:t>
      </w:r>
      <w:r w:rsidRPr="00210A7F">
        <w:t xml:space="preserve"> by the end of the Registration Period who then move into the top 100 </w:t>
      </w:r>
      <w:r w:rsidR="00E27EC5">
        <w:t>WAGR</w:t>
      </w:r>
      <w:r w:rsidR="00E27EC5">
        <w:rPr>
          <w:rFonts w:cstheme="minorHAnsi"/>
        </w:rPr>
        <w:t>®</w:t>
      </w:r>
      <w:r w:rsidRPr="00210A7F">
        <w:t xml:space="preserve"> at any time prior to the conclusion of the Late Registration Period in the relevant season.</w:t>
      </w:r>
    </w:p>
    <w:p w14:paraId="0D1FF891" w14:textId="77777777" w:rsidR="007D7513" w:rsidRDefault="007D7513" w:rsidP="007D7513">
      <w:pPr>
        <w:pStyle w:val="NoSpacing"/>
      </w:pPr>
    </w:p>
    <w:p w14:paraId="1FD5A62B" w14:textId="3EB3EBA5" w:rsidR="000779C9" w:rsidRPr="00A60086" w:rsidRDefault="00797687" w:rsidP="007D7513">
      <w:pPr>
        <w:pStyle w:val="NoSpacing"/>
      </w:pPr>
      <w:r>
        <w:t>The</w:t>
      </w:r>
      <w:r w:rsidR="007D7513" w:rsidRPr="00A60086">
        <w:t xml:space="preserve"> G</w:t>
      </w:r>
      <w:r w:rsidR="007D7513">
        <w:t>lobal Amateur Pathway R</w:t>
      </w:r>
      <w:r w:rsidR="007D7513" w:rsidRPr="00A60086">
        <w:t xml:space="preserve">anking </w:t>
      </w:r>
      <w:r w:rsidR="00D4105B">
        <w:t>–</w:t>
      </w:r>
      <w:r w:rsidR="007D7513" w:rsidRPr="00A60086">
        <w:t xml:space="preserve"> </w:t>
      </w:r>
      <w:r w:rsidR="00E27EC5">
        <w:t>based on the</w:t>
      </w:r>
      <w:r w:rsidR="007D7513" w:rsidRPr="00A60086">
        <w:t xml:space="preserve"> </w:t>
      </w:r>
      <w:r w:rsidR="00E27EC5">
        <w:t>WAGR</w:t>
      </w:r>
      <w:r w:rsidR="00E27EC5">
        <w:rPr>
          <w:rFonts w:cstheme="minorHAnsi"/>
        </w:rPr>
        <w:t>®</w:t>
      </w:r>
      <w:r w:rsidR="007D7513" w:rsidRPr="00A60086">
        <w:t xml:space="preserve"> </w:t>
      </w:r>
      <w:r w:rsidR="00D4105B">
        <w:t>–</w:t>
      </w:r>
      <w:r w:rsidR="007D7513" w:rsidRPr="00A60086">
        <w:t xml:space="preserve"> will be published every </w:t>
      </w:r>
      <w:r>
        <w:t>week</w:t>
      </w:r>
      <w:r w:rsidR="007D7513" w:rsidRPr="00A60086">
        <w:t xml:space="preserve"> on </w:t>
      </w:r>
      <w:r w:rsidR="006F2958">
        <w:t xml:space="preserve">the </w:t>
      </w:r>
      <w:hyperlink r:id="rId11" w:history="1">
        <w:r w:rsidR="006F2958" w:rsidRPr="006F2958">
          <w:rPr>
            <w:rStyle w:val="Hyperlink"/>
          </w:rPr>
          <w:t>Global Amateur Pathway page</w:t>
        </w:r>
      </w:hyperlink>
      <w:r w:rsidR="006F2958">
        <w:t xml:space="preserve"> </w:t>
      </w:r>
      <w:r w:rsidR="00F57714">
        <w:t xml:space="preserve">following the registration period, </w:t>
      </w:r>
      <w:r w:rsidR="007D7513" w:rsidRPr="00A60086">
        <w:t xml:space="preserve">with qualification ending on </w:t>
      </w:r>
      <w:r w:rsidR="00940617">
        <w:t xml:space="preserve">13 </w:t>
      </w:r>
      <w:r w:rsidR="007D7513" w:rsidRPr="00A60086">
        <w:t>October</w:t>
      </w:r>
      <w:r w:rsidR="00E27EC5">
        <w:t xml:space="preserve"> </w:t>
      </w:r>
      <w:r w:rsidR="007D7513" w:rsidRPr="00A60086">
        <w:t xml:space="preserve">2024. </w:t>
      </w:r>
      <w:r w:rsidR="007D7513" w:rsidDel="00F002B0">
        <w:t xml:space="preserve">The Ranking </w:t>
      </w:r>
      <w:r w:rsidR="007D7513" w:rsidRPr="00202A32" w:rsidDel="00F002B0">
        <w:t xml:space="preserve">is designed to identify and rank elite </w:t>
      </w:r>
      <w:r w:rsidR="00E27EC5">
        <w:t xml:space="preserve">male </w:t>
      </w:r>
      <w:r w:rsidR="007D7513" w:rsidRPr="00202A32" w:rsidDel="00F002B0">
        <w:t xml:space="preserve">amateur players (excluding NCAA Division-I collegiate players) competing in </w:t>
      </w:r>
      <w:r w:rsidR="007D7513" w:rsidDel="00F002B0">
        <w:t>e</w:t>
      </w:r>
      <w:r w:rsidR="007D7513" w:rsidRPr="00202A32" w:rsidDel="00F002B0">
        <w:t xml:space="preserve">ligible </w:t>
      </w:r>
      <w:r w:rsidR="007D7513" w:rsidDel="00F002B0">
        <w:t>t</w:t>
      </w:r>
      <w:r w:rsidR="007D7513" w:rsidRPr="00202A32" w:rsidDel="00F002B0">
        <w:t xml:space="preserve">ournaments based on their average performance in </w:t>
      </w:r>
      <w:r w:rsidR="007D7513" w:rsidDel="00F002B0">
        <w:t>those tournaments</w:t>
      </w:r>
      <w:r w:rsidR="007D7513" w:rsidRPr="00202A32" w:rsidDel="00F002B0">
        <w:t>.</w:t>
      </w:r>
    </w:p>
    <w:p w14:paraId="01EB157D" w14:textId="77777777" w:rsidR="007D7513" w:rsidRDefault="007D7513" w:rsidP="007D7513">
      <w:pPr>
        <w:pStyle w:val="NoSpacing"/>
      </w:pPr>
    </w:p>
    <w:p w14:paraId="717E0D8A" w14:textId="77777777" w:rsidR="00210A7F" w:rsidRPr="00210A7F" w:rsidRDefault="00210A7F" w:rsidP="00210A7F">
      <w:pPr>
        <w:pStyle w:val="NoSpacing"/>
        <w:ind w:left="720"/>
      </w:pPr>
    </w:p>
    <w:p w14:paraId="5E0FAA8F" w14:textId="6D9395BF" w:rsidR="00020687" w:rsidRDefault="00ED3F18" w:rsidP="00020687">
      <w:pPr>
        <w:pStyle w:val="NoSpacing"/>
        <w:jc w:val="center"/>
        <w:rPr>
          <w:b/>
          <w:bCs/>
        </w:rPr>
      </w:pPr>
      <w:r w:rsidRPr="00136530">
        <w:rPr>
          <w:b/>
          <w:bCs/>
        </w:rPr>
        <w:t>Ends</w:t>
      </w:r>
    </w:p>
    <w:p w14:paraId="4ABE0C3A" w14:textId="77777777" w:rsidR="00020687" w:rsidRDefault="00020687" w:rsidP="00020687">
      <w:pPr>
        <w:pStyle w:val="NoSpacing"/>
        <w:jc w:val="center"/>
        <w:rPr>
          <w:b/>
          <w:bCs/>
        </w:rPr>
      </w:pPr>
    </w:p>
    <w:p w14:paraId="4D53836D" w14:textId="77777777" w:rsidR="00020687" w:rsidRDefault="00020687" w:rsidP="00ED3F18">
      <w:pPr>
        <w:pStyle w:val="NoSpacing"/>
        <w:jc w:val="center"/>
        <w:rPr>
          <w:b/>
          <w:bCs/>
        </w:rPr>
      </w:pPr>
    </w:p>
    <w:p w14:paraId="659E60FC" w14:textId="5AFF7758" w:rsidR="00020687" w:rsidRPr="00136530" w:rsidRDefault="00020687" w:rsidP="00ED3F18">
      <w:pPr>
        <w:pStyle w:val="NoSpacing"/>
        <w:jc w:val="center"/>
        <w:rPr>
          <w:b/>
          <w:bCs/>
        </w:rPr>
      </w:pPr>
      <w:r>
        <w:rPr>
          <w:b/>
          <w:bCs/>
          <w:noProof/>
        </w:rPr>
        <w:drawing>
          <wp:inline distT="0" distB="0" distL="0" distR="0" wp14:anchorId="1592542C" wp14:editId="0DE62056">
            <wp:extent cx="5731510" cy="974090"/>
            <wp:effectExtent l="0" t="0" r="2540" b="0"/>
            <wp:docPr id="54951037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10371" name="Picture 1" descr="A close-up of a 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974090"/>
                    </a:xfrm>
                    <a:prstGeom prst="rect">
                      <a:avLst/>
                    </a:prstGeom>
                  </pic:spPr>
                </pic:pic>
              </a:graphicData>
            </a:graphic>
          </wp:inline>
        </w:drawing>
      </w:r>
    </w:p>
    <w:p w14:paraId="38BA26C0" w14:textId="77777777" w:rsidR="00136530" w:rsidRPr="00ED3F18" w:rsidRDefault="00136530" w:rsidP="002805F2">
      <w:pPr>
        <w:pStyle w:val="NoSpacing"/>
        <w:rPr>
          <w:rFonts w:cstheme="minorHAnsi"/>
          <w:color w:val="FF0000"/>
        </w:rPr>
      </w:pPr>
    </w:p>
    <w:p w14:paraId="0381151D" w14:textId="2E908F8B" w:rsidR="00136530" w:rsidRDefault="001A6982" w:rsidP="00136530">
      <w:pPr>
        <w:pStyle w:val="NoSpacing"/>
        <w:rPr>
          <w:rStyle w:val="Strong"/>
          <w:sz w:val="18"/>
          <w:szCs w:val="18"/>
        </w:rPr>
      </w:pPr>
      <w:r>
        <w:rPr>
          <w:rStyle w:val="Strong"/>
          <w:sz w:val="18"/>
          <w:szCs w:val="18"/>
        </w:rPr>
        <w:t>EUROPEAN TOUR GROUP COMMUNICATIONS</w:t>
      </w:r>
      <w:r>
        <w:rPr>
          <w:b/>
          <w:bCs/>
          <w:sz w:val="18"/>
          <w:szCs w:val="18"/>
        </w:rPr>
        <w:br/>
      </w:r>
      <w:r>
        <w:rPr>
          <w:rStyle w:val="Strong"/>
          <w:sz w:val="18"/>
          <w:szCs w:val="18"/>
        </w:rPr>
        <w:t>Wentworth Drive | Virginia Water | Surrey | GU25 4LX | UNITED KINGDOM</w:t>
      </w:r>
      <w:r>
        <w:rPr>
          <w:sz w:val="18"/>
          <w:szCs w:val="18"/>
        </w:rPr>
        <w:br/>
      </w:r>
      <w:r>
        <w:rPr>
          <w:rStyle w:val="Strong"/>
          <w:sz w:val="18"/>
          <w:szCs w:val="18"/>
        </w:rPr>
        <w:t xml:space="preserve">Tel: +44 (0) 1344 840400 | Email: </w:t>
      </w:r>
      <w:hyperlink r:id="rId13" w:history="1">
        <w:r w:rsidRPr="006B087F">
          <w:rPr>
            <w:rStyle w:val="Hyperlink"/>
            <w:sz w:val="18"/>
            <w:szCs w:val="18"/>
          </w:rPr>
          <w:t>Comms@europeantourgroup.com</w:t>
        </w:r>
      </w:hyperlink>
    </w:p>
    <w:p w14:paraId="69A16A00" w14:textId="77777777" w:rsidR="001A6982" w:rsidRDefault="001A6982" w:rsidP="00136530">
      <w:pPr>
        <w:pStyle w:val="NoSpacing"/>
        <w:rPr>
          <w:rStyle w:val="Strong"/>
          <w:sz w:val="18"/>
          <w:szCs w:val="18"/>
        </w:rPr>
      </w:pPr>
    </w:p>
    <w:p w14:paraId="51BC26CD" w14:textId="4AC943D4" w:rsidR="006F2958" w:rsidRPr="006F2958" w:rsidRDefault="006F2958" w:rsidP="006F2958">
      <w:pPr>
        <w:rPr>
          <w:rFonts w:asciiTheme="minorHAnsi" w:hAnsiTheme="minorHAnsi" w:cstheme="minorHAnsi"/>
          <w:b/>
          <w:bCs/>
          <w:color w:val="757575"/>
          <w:sz w:val="18"/>
          <w:szCs w:val="18"/>
        </w:rPr>
      </w:pPr>
      <w:r w:rsidRPr="006F2958">
        <w:rPr>
          <w:rFonts w:asciiTheme="minorHAnsi" w:hAnsiTheme="minorHAnsi" w:cstheme="minorHAnsi"/>
          <w:b/>
          <w:bCs/>
          <w:color w:val="000000"/>
          <w:sz w:val="18"/>
          <w:szCs w:val="18"/>
        </w:rPr>
        <w:t>The R&amp;A – Communications</w:t>
      </w:r>
      <w:r w:rsidRPr="006F2958">
        <w:rPr>
          <w:rFonts w:asciiTheme="minorHAnsi" w:hAnsiTheme="minorHAnsi" w:cstheme="minorHAnsi"/>
          <w:b/>
          <w:bCs/>
          <w:color w:val="000000"/>
          <w:sz w:val="18"/>
          <w:szCs w:val="18"/>
        </w:rPr>
        <w:br/>
        <w:t>+44 (0) 1334 460000</w:t>
      </w:r>
      <w:r w:rsidRPr="006F2958">
        <w:rPr>
          <w:rFonts w:asciiTheme="minorHAnsi" w:hAnsiTheme="minorHAnsi" w:cstheme="minorHAnsi"/>
          <w:b/>
          <w:bCs/>
          <w:color w:val="757575"/>
          <w:sz w:val="18"/>
          <w:szCs w:val="18"/>
        </w:rPr>
        <w:br/>
      </w:r>
      <w:hyperlink r:id="rId14" w:history="1">
        <w:r w:rsidRPr="006F2958">
          <w:rPr>
            <w:rStyle w:val="Hyperlink"/>
            <w:rFonts w:asciiTheme="minorHAnsi" w:hAnsiTheme="minorHAnsi" w:cstheme="minorHAnsi"/>
            <w:b/>
            <w:bCs/>
            <w:color w:val="000000"/>
            <w:sz w:val="18"/>
            <w:szCs w:val="18"/>
          </w:rPr>
          <w:t>media@randa.org</w:t>
        </w:r>
      </w:hyperlink>
    </w:p>
    <w:p w14:paraId="6D870AA0" w14:textId="77777777" w:rsidR="006F2958" w:rsidRDefault="006F2958" w:rsidP="006F2958">
      <w:r>
        <w:rPr>
          <w:rFonts w:ascii="Radikal" w:hAnsi="Radikal"/>
          <w:color w:val="757575"/>
        </w:rPr>
        <w:t> </w:t>
      </w:r>
    </w:p>
    <w:p w14:paraId="26A722C2" w14:textId="77777777" w:rsidR="006F2958" w:rsidRDefault="006F2958" w:rsidP="006F2958">
      <w:pPr>
        <w:rPr>
          <w:rFonts w:asciiTheme="minorHAnsi" w:hAnsiTheme="minorHAnsi" w:cstheme="minorHAnsi"/>
          <w:b/>
          <w:bCs/>
          <w:sz w:val="18"/>
          <w:szCs w:val="18"/>
          <w:lang w:val="en-US"/>
        </w:rPr>
      </w:pPr>
      <w:r w:rsidRPr="006F2958">
        <w:rPr>
          <w:rFonts w:asciiTheme="minorHAnsi" w:hAnsiTheme="minorHAnsi" w:cstheme="minorHAnsi"/>
          <w:b/>
          <w:bCs/>
          <w:sz w:val="18"/>
          <w:szCs w:val="18"/>
          <w:lang w:val="en-US"/>
        </w:rPr>
        <w:t>PGA TOUR Communications</w:t>
      </w:r>
    </w:p>
    <w:p w14:paraId="66370EA4" w14:textId="04CBF0F4" w:rsidR="006F2958" w:rsidRPr="006F2958" w:rsidRDefault="006F2958" w:rsidP="006F2958">
      <w:pPr>
        <w:rPr>
          <w:rFonts w:asciiTheme="minorHAnsi" w:hAnsiTheme="minorHAnsi" w:cstheme="minorHAnsi"/>
          <w:b/>
          <w:bCs/>
          <w:sz w:val="18"/>
          <w:szCs w:val="18"/>
          <w:lang w:val="en-US"/>
        </w:rPr>
      </w:pPr>
      <w:r w:rsidRPr="006F2958">
        <w:rPr>
          <w:rFonts w:asciiTheme="minorHAnsi" w:hAnsiTheme="minorHAnsi" w:cstheme="minorHAnsi"/>
          <w:b/>
          <w:bCs/>
          <w:sz w:val="18"/>
          <w:szCs w:val="18"/>
          <w:lang w:val="en-US"/>
        </w:rPr>
        <w:t>+1 (703) 477-2699</w:t>
      </w:r>
    </w:p>
    <w:p w14:paraId="74ED354E" w14:textId="77777777" w:rsidR="006F2958" w:rsidRPr="006F2958" w:rsidRDefault="00000000" w:rsidP="006F2958">
      <w:pPr>
        <w:rPr>
          <w:rFonts w:asciiTheme="minorHAnsi" w:hAnsiTheme="minorHAnsi" w:cstheme="minorHAnsi"/>
          <w:b/>
          <w:bCs/>
          <w:sz w:val="18"/>
          <w:szCs w:val="18"/>
          <w:lang w:val="en-US"/>
        </w:rPr>
      </w:pPr>
      <w:hyperlink r:id="rId15" w:history="1">
        <w:r w:rsidR="006F2958" w:rsidRPr="006F2958">
          <w:rPr>
            <w:rStyle w:val="Hyperlink"/>
            <w:rFonts w:asciiTheme="minorHAnsi" w:hAnsiTheme="minorHAnsi" w:cstheme="minorHAnsi"/>
            <w:b/>
            <w:bCs/>
            <w:sz w:val="18"/>
            <w:szCs w:val="18"/>
            <w:lang w:val="en-US"/>
          </w:rPr>
          <w:t>TadDickman@pgatourhq.com</w:t>
        </w:r>
      </w:hyperlink>
    </w:p>
    <w:p w14:paraId="3197CA25" w14:textId="77777777" w:rsidR="001A6982" w:rsidRDefault="001A6982" w:rsidP="00136530">
      <w:pPr>
        <w:pStyle w:val="NoSpacing"/>
        <w:rPr>
          <w:rStyle w:val="Strong"/>
          <w:color w:val="FF0000"/>
          <w:sz w:val="18"/>
          <w:szCs w:val="18"/>
        </w:rPr>
      </w:pPr>
    </w:p>
    <w:p w14:paraId="32BC6FC5" w14:textId="77777777" w:rsidR="006F2958" w:rsidRPr="001A6982" w:rsidRDefault="006F2958" w:rsidP="00136530">
      <w:pPr>
        <w:pStyle w:val="NoSpacing"/>
        <w:rPr>
          <w:rStyle w:val="Strong"/>
          <w:color w:val="FF0000"/>
          <w:sz w:val="18"/>
          <w:szCs w:val="18"/>
        </w:rPr>
      </w:pPr>
    </w:p>
    <w:p w14:paraId="71BE87FA" w14:textId="77777777" w:rsidR="008901D2" w:rsidRDefault="008901D2" w:rsidP="00136530">
      <w:pPr>
        <w:pStyle w:val="NoSpacing"/>
        <w:rPr>
          <w:rFonts w:cstheme="minorHAnsi"/>
          <w:b/>
          <w:bCs/>
        </w:rPr>
      </w:pPr>
    </w:p>
    <w:p w14:paraId="26BD2DAC" w14:textId="1677171E" w:rsidR="00136530" w:rsidRPr="00F46B61" w:rsidRDefault="00136530" w:rsidP="00136530">
      <w:pPr>
        <w:pStyle w:val="NoSpacing"/>
        <w:rPr>
          <w:rFonts w:cstheme="minorHAnsi"/>
          <w:b/>
          <w:bCs/>
        </w:rPr>
      </w:pPr>
      <w:r w:rsidRPr="00F46B61">
        <w:rPr>
          <w:rFonts w:cstheme="minorHAnsi"/>
          <w:b/>
          <w:bCs/>
        </w:rPr>
        <w:t>About the DP World Tour</w:t>
      </w:r>
    </w:p>
    <w:p w14:paraId="428DD429" w14:textId="77777777" w:rsidR="00136530" w:rsidRPr="00F46B61" w:rsidRDefault="00136530" w:rsidP="00136530">
      <w:pPr>
        <w:pStyle w:val="NoSpacing"/>
        <w:rPr>
          <w:rFonts w:cstheme="minorHAnsi"/>
        </w:rPr>
      </w:pPr>
      <w:r w:rsidRPr="00F46B61">
        <w:rPr>
          <w:rFonts w:cstheme="minorHAnsi"/>
        </w:rPr>
        <w:t xml:space="preserve"> </w:t>
      </w:r>
    </w:p>
    <w:p w14:paraId="5610F6F8" w14:textId="77777777" w:rsidR="00136530" w:rsidRPr="00F46B61" w:rsidRDefault="00136530" w:rsidP="00136530">
      <w:pPr>
        <w:pStyle w:val="NoSpacing"/>
        <w:rPr>
          <w:rFonts w:cstheme="minorHAnsi"/>
        </w:rPr>
      </w:pPr>
      <w:r w:rsidRPr="00F46B61">
        <w:rPr>
          <w:rFonts w:cstheme="minorHAnsi"/>
        </w:rPr>
        <w:t xml:space="preserve">The DP World Tour is the main men’s professional golf Tour of the European Tour group. </w:t>
      </w:r>
    </w:p>
    <w:p w14:paraId="63DF6C45" w14:textId="77777777" w:rsidR="00136530" w:rsidRPr="00F46B61" w:rsidRDefault="00136530" w:rsidP="00136530">
      <w:pPr>
        <w:pStyle w:val="NoSpacing"/>
        <w:rPr>
          <w:rFonts w:cstheme="minorHAnsi"/>
        </w:rPr>
      </w:pPr>
    </w:p>
    <w:p w14:paraId="0D498DA7" w14:textId="77777777" w:rsidR="00136530" w:rsidRPr="00F46B61" w:rsidRDefault="00136530" w:rsidP="00136530">
      <w:pPr>
        <w:pStyle w:val="NoSpacing"/>
        <w:rPr>
          <w:rFonts w:cstheme="minorHAnsi"/>
        </w:rPr>
      </w:pPr>
      <w:r w:rsidRPr="00F46B61">
        <w:rPr>
          <w:rFonts w:cstheme="minorHAnsi"/>
        </w:rPr>
        <w:t>Our 2024 global schedule features a minimum of 44 tournaments in 24 different countries across three distinct phases of the season: five ‘Global Swings’ from November 2023 to August 2024; the ‘Back 9’ from September 2024 to October 2024; and the ‘DP World Tour Play-Offs’, comprising two consecutive Rolex Series events in November 2024.</w:t>
      </w:r>
    </w:p>
    <w:p w14:paraId="59CBF970" w14:textId="77777777" w:rsidR="00136530" w:rsidRPr="00F46B61" w:rsidRDefault="00136530" w:rsidP="00136530">
      <w:pPr>
        <w:pStyle w:val="NoSpacing"/>
        <w:rPr>
          <w:rFonts w:cstheme="minorHAnsi"/>
        </w:rPr>
      </w:pPr>
    </w:p>
    <w:p w14:paraId="012D1941" w14:textId="77777777" w:rsidR="00136530" w:rsidRPr="00F46B61" w:rsidRDefault="00136530" w:rsidP="00136530">
      <w:pPr>
        <w:pStyle w:val="NoSpacing"/>
        <w:rPr>
          <w:rFonts w:cstheme="minorHAnsi"/>
        </w:rPr>
      </w:pPr>
      <w:r w:rsidRPr="00F46B61">
        <w:rPr>
          <w:rFonts w:cstheme="minorHAnsi"/>
        </w:rPr>
        <w:t xml:space="preserve">Overall, the 2024 season features five Rolex Series events – the premium category of events on the DP World Tour - and four Major Championships, all of which count towards the Race to Dubai Rankings in partnership with Rolex, the Tour’s season-long competition which concludes at the DP World Tour Championship, Dubai. </w:t>
      </w:r>
    </w:p>
    <w:p w14:paraId="3A2E84BE" w14:textId="77777777" w:rsidR="00136530" w:rsidRPr="00F46B61" w:rsidRDefault="00136530" w:rsidP="00136530">
      <w:pPr>
        <w:pStyle w:val="NoSpacing"/>
        <w:rPr>
          <w:rFonts w:cstheme="minorHAnsi"/>
        </w:rPr>
      </w:pPr>
    </w:p>
    <w:p w14:paraId="25A7345C" w14:textId="77777777" w:rsidR="00136530" w:rsidRPr="00F46B61" w:rsidRDefault="00136530" w:rsidP="00136530">
      <w:pPr>
        <w:pStyle w:val="NoSpacing"/>
        <w:rPr>
          <w:rFonts w:cstheme="minorHAnsi"/>
        </w:rPr>
      </w:pPr>
      <w:r w:rsidRPr="00F46B61">
        <w:rPr>
          <w:rFonts w:cstheme="minorHAnsi"/>
        </w:rPr>
        <w:t xml:space="preserve">DP World, the leading provider of global smart end-to-end supply chain and logistics solutions, has been the title partner of the DP World Tour since the start of the 2022 season, the Tour’s 50th season following its formation in 1972. </w:t>
      </w:r>
    </w:p>
    <w:p w14:paraId="1A90695E" w14:textId="77777777" w:rsidR="00136530" w:rsidRPr="00F46B61" w:rsidRDefault="00136530" w:rsidP="00136530">
      <w:pPr>
        <w:pStyle w:val="NoSpacing"/>
        <w:rPr>
          <w:rFonts w:cstheme="minorHAnsi"/>
        </w:rPr>
      </w:pPr>
    </w:p>
    <w:p w14:paraId="3126FA9D" w14:textId="77777777" w:rsidR="00136530" w:rsidRPr="00F46B61" w:rsidRDefault="00136530" w:rsidP="00136530">
      <w:pPr>
        <w:pStyle w:val="NoSpacing"/>
        <w:rPr>
          <w:rFonts w:cstheme="minorHAnsi"/>
          <w:b/>
          <w:bCs/>
        </w:rPr>
      </w:pPr>
      <w:r w:rsidRPr="00F46B61">
        <w:rPr>
          <w:rFonts w:cstheme="minorHAnsi"/>
          <w:b/>
          <w:bCs/>
        </w:rPr>
        <w:t>About the European Tour group</w:t>
      </w:r>
    </w:p>
    <w:p w14:paraId="3F692D1B" w14:textId="77777777" w:rsidR="00136530" w:rsidRPr="00F46B61" w:rsidRDefault="00136530" w:rsidP="00136530">
      <w:pPr>
        <w:pStyle w:val="NoSpacing"/>
        <w:rPr>
          <w:rFonts w:cstheme="minorHAnsi"/>
        </w:rPr>
      </w:pPr>
    </w:p>
    <w:p w14:paraId="40F43701" w14:textId="77777777" w:rsidR="00136530" w:rsidRPr="00F46B61" w:rsidRDefault="00136530" w:rsidP="00136530">
      <w:pPr>
        <w:pStyle w:val="NoSpacing"/>
        <w:rPr>
          <w:rFonts w:cstheme="minorHAnsi"/>
        </w:rPr>
      </w:pPr>
      <w:r w:rsidRPr="00F46B61">
        <w:rPr>
          <w:rFonts w:cstheme="minorHAnsi"/>
        </w:rPr>
        <w:t>The European Tour group is the overarching corporate brand which administers: the DP World Tour, the Challenge Tour, the Legends Tour and the G4D Tour and, along with the PGA of America, is the Managing Partner of golf’s greatest team contest, the Ryder Cup.</w:t>
      </w:r>
    </w:p>
    <w:p w14:paraId="73EF052A" w14:textId="77777777" w:rsidR="00136530" w:rsidRPr="00F46B61" w:rsidRDefault="00136530" w:rsidP="00136530">
      <w:pPr>
        <w:pStyle w:val="NoSpacing"/>
        <w:rPr>
          <w:rFonts w:cstheme="minorHAnsi"/>
        </w:rPr>
      </w:pPr>
      <w:r w:rsidRPr="00F46B61">
        <w:rPr>
          <w:rFonts w:cstheme="minorHAnsi"/>
        </w:rPr>
        <w:t xml:space="preserve"> </w:t>
      </w:r>
    </w:p>
    <w:p w14:paraId="33A61A5D" w14:textId="77777777" w:rsidR="00136530" w:rsidRPr="00F46B61" w:rsidRDefault="00136530" w:rsidP="00136530">
      <w:pPr>
        <w:pStyle w:val="NoSpacing"/>
        <w:rPr>
          <w:rFonts w:cstheme="minorHAnsi"/>
        </w:rPr>
      </w:pPr>
      <w:r w:rsidRPr="00F46B61">
        <w:rPr>
          <w:rFonts w:cstheme="minorHAnsi"/>
        </w:rPr>
        <w:t>Established in 1972, the European Tour group is committed to ‘Driving Golf Further’ through our guiding principles of being innovative, inclusive and global.</w:t>
      </w:r>
    </w:p>
    <w:p w14:paraId="064E303D" w14:textId="77777777" w:rsidR="00136530" w:rsidRPr="00F46B61" w:rsidRDefault="00136530" w:rsidP="00136530">
      <w:pPr>
        <w:pStyle w:val="NoSpacing"/>
        <w:rPr>
          <w:rFonts w:cstheme="minorHAnsi"/>
        </w:rPr>
      </w:pPr>
    </w:p>
    <w:p w14:paraId="009D4E75" w14:textId="77777777" w:rsidR="00136530" w:rsidRPr="00F46B61" w:rsidRDefault="00136530" w:rsidP="00136530">
      <w:pPr>
        <w:pStyle w:val="NoSpacing"/>
        <w:rPr>
          <w:rFonts w:cstheme="minorHAnsi"/>
        </w:rPr>
      </w:pPr>
      <w:r w:rsidRPr="00F46B61">
        <w:rPr>
          <w:rFonts w:cstheme="minorHAnsi"/>
        </w:rPr>
        <w:t>Innovative: We are driving innovation in golf through the creation of award-winning content, pioneering tournament formats and the use of the latest technology and inventive fan engagement. We are committed to attracting new audiences whilst respecting the tradition of our sport.</w:t>
      </w:r>
    </w:p>
    <w:p w14:paraId="2DD79E1F" w14:textId="77777777" w:rsidR="00136530" w:rsidRPr="00F46B61" w:rsidRDefault="00136530" w:rsidP="00136530">
      <w:pPr>
        <w:pStyle w:val="NoSpacing"/>
        <w:rPr>
          <w:rFonts w:cstheme="minorHAnsi"/>
        </w:rPr>
      </w:pPr>
    </w:p>
    <w:p w14:paraId="43D9C6E8" w14:textId="77777777" w:rsidR="00136530" w:rsidRPr="00F46B61" w:rsidRDefault="00136530" w:rsidP="00136530">
      <w:pPr>
        <w:pStyle w:val="NoSpacing"/>
        <w:rPr>
          <w:rFonts w:cstheme="minorHAnsi"/>
        </w:rPr>
      </w:pPr>
      <w:r w:rsidRPr="00F46B61">
        <w:rPr>
          <w:rFonts w:cstheme="minorHAnsi"/>
        </w:rPr>
        <w:t xml:space="preserve">Inclusive: We are committed to include all who share a love for the game of golf. We are passionate about a closer collaboration with the women’s game, golf for the disabled and promoting the many physical and mental health benefits of playing golf.  </w:t>
      </w:r>
    </w:p>
    <w:p w14:paraId="14B087BD" w14:textId="77777777" w:rsidR="00136530" w:rsidRPr="00F46B61" w:rsidRDefault="00136530" w:rsidP="00136530">
      <w:pPr>
        <w:pStyle w:val="NoSpacing"/>
        <w:rPr>
          <w:rFonts w:cstheme="minorHAnsi"/>
        </w:rPr>
      </w:pPr>
    </w:p>
    <w:p w14:paraId="53542A89" w14:textId="77777777" w:rsidR="00136530" w:rsidRPr="00F46B61" w:rsidRDefault="00136530" w:rsidP="00136530">
      <w:pPr>
        <w:pStyle w:val="NoSpacing"/>
        <w:rPr>
          <w:rFonts w:cstheme="minorHAnsi"/>
        </w:rPr>
      </w:pPr>
      <w:r w:rsidRPr="00F46B61">
        <w:rPr>
          <w:rFonts w:cstheme="minorHAnsi"/>
        </w:rPr>
        <w:t>Global: Since 1972, players from 38 different countries have won tournaments on our main Tour, while our live broadcast reaches more than 490 million homes in more than 150 countries every week, generating in excess of 2,200 global broadcast hours for each event. We also enjoy the support of many of the world’s leading business brands with DP World, Rolex, BMW, Emirates, Fortinet and Hilton as Official Partners.</w:t>
      </w:r>
    </w:p>
    <w:p w14:paraId="5EF0B18B" w14:textId="77777777" w:rsidR="00136530" w:rsidRPr="00F46B61" w:rsidRDefault="00136530" w:rsidP="00136530">
      <w:pPr>
        <w:pStyle w:val="NoSpacing"/>
        <w:rPr>
          <w:rFonts w:cstheme="minorHAnsi"/>
        </w:rPr>
      </w:pPr>
      <w:r w:rsidRPr="00F46B61">
        <w:rPr>
          <w:rFonts w:cstheme="minorHAnsi"/>
        </w:rPr>
        <w:t xml:space="preserve"> </w:t>
      </w:r>
    </w:p>
    <w:p w14:paraId="461C1E06" w14:textId="20F0610D" w:rsidR="00136530" w:rsidRPr="00F46B61" w:rsidRDefault="00A60086" w:rsidP="00136530">
      <w:pPr>
        <w:pStyle w:val="NoSpacing"/>
        <w:rPr>
          <w:rFonts w:cstheme="minorHAnsi"/>
        </w:rPr>
      </w:pPr>
      <w:r w:rsidRPr="00A60086">
        <w:rPr>
          <w:rFonts w:cstheme="minorHAnsi"/>
        </w:rPr>
        <w:t>The European Tour group has Strategic Alliances with the PGA TOUR, the Sunshine Tour and Challenger PGA Tour of Australasia. Those Strategic Alliances, combined with partnerships with the China Golf Association (CGA), Japan Golf Tour Organization (JGTO), the Korea Professional Golfers’ Association (KPGA), and the TATA Steel Professional Golf Tour of India, provide global pathways for players from across the world to compete internationally on the DP World Tour, the main men’s professional golf Tour of the European Tour group.</w:t>
      </w:r>
      <w:r>
        <w:rPr>
          <w:rFonts w:cstheme="minorHAnsi"/>
        </w:rPr>
        <w:br/>
      </w:r>
    </w:p>
    <w:p w14:paraId="7568F5AF" w14:textId="3FB8935D" w:rsidR="00136530" w:rsidRDefault="00136530" w:rsidP="00136530">
      <w:pPr>
        <w:pStyle w:val="NoSpacing"/>
        <w:rPr>
          <w:rFonts w:cstheme="minorHAnsi"/>
        </w:rPr>
      </w:pPr>
      <w:r w:rsidRPr="00F46B61">
        <w:rPr>
          <w:rFonts w:cstheme="minorHAnsi"/>
        </w:rPr>
        <w:t>We ensure we have a positive long-term impact on the courses, countries and the communities we visit through ‘Golf for Good’, the umbrella name for the European Tour group’s commitment to ‘Driving Golf Further’ in an environmentally and socially sustainable way.</w:t>
      </w:r>
    </w:p>
    <w:p w14:paraId="2B8C9169" w14:textId="77777777" w:rsidR="00530B87" w:rsidRDefault="00530B87" w:rsidP="00136530">
      <w:pPr>
        <w:pStyle w:val="NoSpacing"/>
        <w:rPr>
          <w:rFonts w:cstheme="minorHAnsi"/>
        </w:rPr>
      </w:pPr>
    </w:p>
    <w:p w14:paraId="5133918C" w14:textId="77777777" w:rsidR="003B3241" w:rsidRPr="00E57304" w:rsidRDefault="003B3241" w:rsidP="003B3241">
      <w:pPr>
        <w:pStyle w:val="NoSpacing"/>
        <w:rPr>
          <w:rFonts w:cstheme="minorHAnsi"/>
          <w:b/>
          <w:bCs/>
        </w:rPr>
      </w:pPr>
      <w:r w:rsidRPr="00E57304">
        <w:rPr>
          <w:rFonts w:cstheme="minorHAnsi"/>
          <w:b/>
          <w:bCs/>
        </w:rPr>
        <w:t>About The R&amp;A</w:t>
      </w:r>
    </w:p>
    <w:p w14:paraId="42638718" w14:textId="77777777" w:rsidR="003B3241" w:rsidRPr="00E57304" w:rsidRDefault="003B3241" w:rsidP="003B3241">
      <w:pPr>
        <w:pStyle w:val="NoSpacing"/>
        <w:rPr>
          <w:rFonts w:cstheme="minorHAnsi"/>
        </w:rPr>
      </w:pPr>
    </w:p>
    <w:p w14:paraId="7F427862" w14:textId="77777777" w:rsidR="003B3241" w:rsidRPr="00E57304" w:rsidRDefault="003B3241" w:rsidP="003B3241">
      <w:pPr>
        <w:pStyle w:val="NoSpacing"/>
        <w:rPr>
          <w:rFonts w:cstheme="minorHAnsi"/>
        </w:rPr>
      </w:pPr>
      <w:r w:rsidRPr="00E57304">
        <w:rPr>
          <w:rFonts w:cstheme="minorHAnsi"/>
        </w:rPr>
        <w:t xml:space="preserve">The R&amp;A group of companies was formed in 2004 to take on The Royal and Ancient Golf Club of St Andrews’ responsibilities for governing the Rules of Golf, staging The Open, golf’s original championship, and developing the sport. The R&amp;A World Golf Museum in St Andrews is part of </w:t>
      </w:r>
      <w:proofErr w:type="gramStart"/>
      <w:r w:rsidRPr="00E57304">
        <w:rPr>
          <w:rFonts w:cstheme="minorHAnsi"/>
        </w:rPr>
        <w:t>The</w:t>
      </w:r>
      <w:proofErr w:type="gramEnd"/>
      <w:r w:rsidRPr="00E57304">
        <w:rPr>
          <w:rFonts w:cstheme="minorHAnsi"/>
        </w:rPr>
        <w:t xml:space="preserve"> R&amp;A group.</w:t>
      </w:r>
    </w:p>
    <w:p w14:paraId="3411518C" w14:textId="77777777" w:rsidR="003B3241" w:rsidRPr="00E57304" w:rsidRDefault="003B3241" w:rsidP="003B3241">
      <w:pPr>
        <w:pStyle w:val="NoSpacing"/>
        <w:rPr>
          <w:rFonts w:cstheme="minorHAnsi"/>
        </w:rPr>
      </w:pPr>
    </w:p>
    <w:p w14:paraId="17722AC6" w14:textId="77777777" w:rsidR="003B3241" w:rsidRPr="00E57304" w:rsidRDefault="003B3241" w:rsidP="003B3241">
      <w:pPr>
        <w:pStyle w:val="NoSpacing"/>
        <w:rPr>
          <w:rFonts w:cstheme="minorHAnsi"/>
        </w:rPr>
      </w:pPr>
      <w:r w:rsidRPr="00E57304">
        <w:rPr>
          <w:rFonts w:cstheme="minorHAnsi"/>
        </w:rPr>
        <w:t>Together The R&amp;A and the USGA govern the sport of golf worldwide, operating in separate jurisdictions with a commitment to a single code for the Rules of Golf, Rules of Amateur Status and Equipment Standards. The R&amp;A, through R&amp;A Rules Ltd, governs the sport worldwide, outside of the United States and Mexico, on behalf of over 61 million golfers in 146 countries and with the consent of 165 organisations from amateur and professional golf.</w:t>
      </w:r>
    </w:p>
    <w:p w14:paraId="11DFA947" w14:textId="77777777" w:rsidR="003B3241" w:rsidRPr="00E57304" w:rsidRDefault="003B3241" w:rsidP="003B3241">
      <w:pPr>
        <w:pStyle w:val="NoSpacing"/>
        <w:rPr>
          <w:rFonts w:cstheme="minorHAnsi"/>
        </w:rPr>
      </w:pPr>
    </w:p>
    <w:p w14:paraId="4C6DB6E0" w14:textId="77777777" w:rsidR="003B3241" w:rsidRPr="00E57304" w:rsidRDefault="003B3241" w:rsidP="003B3241">
      <w:pPr>
        <w:pStyle w:val="NoSpacing"/>
        <w:rPr>
          <w:rFonts w:cstheme="minorHAnsi"/>
        </w:rPr>
      </w:pPr>
      <w:r w:rsidRPr="00E57304">
        <w:rPr>
          <w:rFonts w:cstheme="minorHAnsi"/>
        </w:rPr>
        <w:t>The R&amp;A has responsibility for running a series of world class amateur events and international matches in women’s and girls’ as well as men’s and boys’ golf. The R&amp;A stages the AIG Women’s Open and works with the DP World Tour to stage the Senior Open presented by Rolex.</w:t>
      </w:r>
    </w:p>
    <w:p w14:paraId="280D7E0D" w14:textId="77777777" w:rsidR="003B3241" w:rsidRPr="00E57304" w:rsidRDefault="003B3241" w:rsidP="003B3241">
      <w:pPr>
        <w:pStyle w:val="NoSpacing"/>
        <w:rPr>
          <w:rFonts w:cstheme="minorHAnsi"/>
        </w:rPr>
      </w:pPr>
    </w:p>
    <w:p w14:paraId="5518A907" w14:textId="28A987EC" w:rsidR="00530B87" w:rsidRPr="00E57304" w:rsidRDefault="003B3241" w:rsidP="003B3241">
      <w:pPr>
        <w:pStyle w:val="NoSpacing"/>
        <w:rPr>
          <w:rFonts w:cstheme="minorHAnsi"/>
        </w:rPr>
      </w:pPr>
      <w:r w:rsidRPr="00E57304">
        <w:rPr>
          <w:rFonts w:cstheme="minorHAnsi"/>
        </w:rPr>
        <w:t>The R&amp;A is committed to investing £200 million over ten years in developing golf and supports the growth of the sport internationally, including the development and management of sustainable golf facilities. For more information, visit www.randa.org.</w:t>
      </w:r>
    </w:p>
    <w:p w14:paraId="33CC0553" w14:textId="77777777" w:rsidR="00136530" w:rsidRPr="00F46B61" w:rsidRDefault="00136530" w:rsidP="00136530">
      <w:pPr>
        <w:pStyle w:val="NoSpacing"/>
        <w:rPr>
          <w:rFonts w:cstheme="minorHAnsi"/>
        </w:rPr>
      </w:pPr>
    </w:p>
    <w:p w14:paraId="31CC9CCD" w14:textId="121F239B" w:rsidR="00136530" w:rsidRPr="00D4105B" w:rsidRDefault="00136530" w:rsidP="00A60086">
      <w:pPr>
        <w:pStyle w:val="NoSpacing"/>
        <w:rPr>
          <w:rFonts w:cstheme="minorHAnsi"/>
          <w:b/>
          <w:bCs/>
        </w:rPr>
      </w:pPr>
      <w:r w:rsidRPr="00D4105B">
        <w:rPr>
          <w:rFonts w:cstheme="minorHAnsi"/>
          <w:b/>
          <w:bCs/>
        </w:rPr>
        <w:t xml:space="preserve">About </w:t>
      </w:r>
      <w:r w:rsidR="00A60086" w:rsidRPr="00D4105B">
        <w:rPr>
          <w:rFonts w:cstheme="minorHAnsi"/>
          <w:b/>
          <w:bCs/>
        </w:rPr>
        <w:t>PGA TOUR</w:t>
      </w:r>
    </w:p>
    <w:p w14:paraId="2FD947FA" w14:textId="77777777" w:rsidR="00D4105B" w:rsidRDefault="00D4105B" w:rsidP="005708AB">
      <w:pPr>
        <w:pStyle w:val="NormalWeb"/>
        <w:spacing w:before="0" w:beforeAutospacing="0" w:after="0" w:afterAutospacing="0"/>
        <w:rPr>
          <w:color w:val="000000" w:themeColor="text1"/>
        </w:rPr>
      </w:pPr>
    </w:p>
    <w:p w14:paraId="2926BD8B" w14:textId="1C602788" w:rsidR="002B5934" w:rsidRPr="005708AB" w:rsidRDefault="00275F45" w:rsidP="005708AB">
      <w:pPr>
        <w:pStyle w:val="NormalWeb"/>
        <w:spacing w:before="0" w:beforeAutospacing="0" w:after="0" w:afterAutospacing="0"/>
        <w:rPr>
          <w:rFonts w:cstheme="minorBidi"/>
        </w:rPr>
      </w:pPr>
      <w:r w:rsidRPr="003670AB">
        <w:rPr>
          <w:color w:val="000000" w:themeColor="text1"/>
        </w:rPr>
        <w:t>By showcasing golf’s greatest players, the PGA TOUR engages, inspires and positively impacts our fans, partners and communities worldwide.</w:t>
      </w:r>
      <w:r w:rsidRPr="003670AB">
        <w:rPr>
          <w:color w:val="000000" w:themeColor="text1"/>
        </w:rPr>
        <w:br/>
      </w:r>
      <w:r w:rsidRPr="003670AB">
        <w:rPr>
          <w:color w:val="000000" w:themeColor="text1"/>
        </w:rPr>
        <w:br/>
        <w:t>The PGA TOUR, headquartered in Ponte Vedra Beach, Florida, co-sanctions tournaments on the PGA TOUR, PGA TOUR Champions, Korn Ferry Tour, PGA TOUR Americas and administers PGA TOUR Q-School presented by Korn Ferry and PGA TOUR University. TOUR members represent the world’s best players, hailing from 28 countries and territories. Showcasing the biggest moments in the sport with history and legacy on the line, the PGA TOUR has long-term domestic distribution partnerships for broadcast coverage on CBS, NBC and Golf Channel and video streaming service on ESPN+. Internationally, PGA TOUR coverage is available across 200+ countries and territories in 28 languages via 44 broadcast and digital partners. Virtually all tournaments are organized as non-profit organizations to maximize charitable giving, and to date, tournaments across all Tours have generated more than $3.93 billion.</w:t>
      </w:r>
      <w:r w:rsidRPr="003670AB">
        <w:rPr>
          <w:color w:val="000000" w:themeColor="text1"/>
        </w:rPr>
        <w:br/>
      </w:r>
      <w:r w:rsidRPr="003670AB">
        <w:rPr>
          <w:color w:val="000000" w:themeColor="text1"/>
        </w:rPr>
        <w:br/>
        <w:t>Fans can follow the PGA TOUR on the new PGA TOUR app and PGATOUR.COM, and on social media channels, including </w:t>
      </w:r>
      <w:hyperlink r:id="rId16" w:tgtFrame="_blank" w:tooltip="https://www.facebook.com/pgatour/" w:history="1">
        <w:r w:rsidRPr="003670AB">
          <w:rPr>
            <w:rStyle w:val="Hyperlink"/>
            <w:color w:val="000000" w:themeColor="text1"/>
          </w:rPr>
          <w:t>Facebook</w:t>
        </w:r>
      </w:hyperlink>
      <w:r w:rsidRPr="003670AB">
        <w:rPr>
          <w:color w:val="000000" w:themeColor="text1"/>
        </w:rPr>
        <w:t xml:space="preserve">, </w:t>
      </w:r>
      <w:hyperlink r:id="rId17" w:history="1">
        <w:r w:rsidRPr="003670AB">
          <w:rPr>
            <w:rStyle w:val="Hyperlink"/>
            <w:color w:val="000000" w:themeColor="text1"/>
          </w:rPr>
          <w:t>Instagram</w:t>
        </w:r>
      </w:hyperlink>
      <w:r w:rsidRPr="003670AB">
        <w:rPr>
          <w:color w:val="000000" w:themeColor="text1"/>
        </w:rPr>
        <w:t xml:space="preserve"> (in </w:t>
      </w:r>
      <w:hyperlink r:id="rId18" w:tgtFrame="_blank" w:tooltip="https://www.instagram.com/pgatouresp/" w:history="1">
        <w:r w:rsidRPr="003670AB">
          <w:rPr>
            <w:rStyle w:val="Hyperlink"/>
            <w:color w:val="000000" w:themeColor="text1"/>
          </w:rPr>
          <w:t>Spanish</w:t>
        </w:r>
      </w:hyperlink>
      <w:r w:rsidRPr="003670AB">
        <w:rPr>
          <w:color w:val="000000" w:themeColor="text1"/>
        </w:rPr>
        <w:t xml:space="preserve">, </w:t>
      </w:r>
      <w:hyperlink r:id="rId19" w:tgtFrame="_blank" w:tooltip="https://www.instagram.com/pgatour_korea/" w:history="1">
        <w:r w:rsidRPr="003670AB">
          <w:rPr>
            <w:rStyle w:val="Hyperlink"/>
            <w:color w:val="000000" w:themeColor="text1"/>
          </w:rPr>
          <w:t>Korean</w:t>
        </w:r>
      </w:hyperlink>
      <w:r w:rsidRPr="003670AB">
        <w:rPr>
          <w:color w:val="000000" w:themeColor="text1"/>
        </w:rPr>
        <w:t xml:space="preserve"> and </w:t>
      </w:r>
      <w:hyperlink r:id="rId20" w:history="1">
        <w:r w:rsidRPr="003670AB">
          <w:rPr>
            <w:rStyle w:val="Hyperlink"/>
            <w:color w:val="000000" w:themeColor="text1"/>
          </w:rPr>
          <w:t>Japanese</w:t>
        </w:r>
      </w:hyperlink>
      <w:r w:rsidRPr="003670AB">
        <w:rPr>
          <w:color w:val="000000" w:themeColor="text1"/>
        </w:rPr>
        <w:t xml:space="preserve">), </w:t>
      </w:r>
      <w:hyperlink r:id="rId21" w:tgtFrame="_blank" w:tooltip="https://www.linkedin.com/company/pga-tour/" w:history="1">
        <w:r w:rsidRPr="003670AB">
          <w:rPr>
            <w:rStyle w:val="Hyperlink"/>
            <w:color w:val="000000" w:themeColor="text1"/>
          </w:rPr>
          <w:t>LinkedIn</w:t>
        </w:r>
      </w:hyperlink>
      <w:r w:rsidRPr="003670AB">
        <w:rPr>
          <w:color w:val="000000" w:themeColor="text1"/>
        </w:rPr>
        <w:t xml:space="preserve">, </w:t>
      </w:r>
      <w:hyperlink r:id="rId22" w:history="1">
        <w:r w:rsidRPr="003670AB">
          <w:rPr>
            <w:rStyle w:val="Hyperlink"/>
            <w:color w:val="000000" w:themeColor="text1"/>
          </w:rPr>
          <w:t>TikTok</w:t>
        </w:r>
      </w:hyperlink>
      <w:r w:rsidRPr="003670AB">
        <w:rPr>
          <w:color w:val="000000" w:themeColor="text1"/>
        </w:rPr>
        <w:t xml:space="preserve">, X (in </w:t>
      </w:r>
      <w:hyperlink r:id="rId23" w:history="1">
        <w:r w:rsidRPr="003670AB">
          <w:rPr>
            <w:rStyle w:val="Hyperlink"/>
            <w:color w:val="000000" w:themeColor="text1"/>
          </w:rPr>
          <w:t>English</w:t>
        </w:r>
      </w:hyperlink>
      <w:r w:rsidRPr="003670AB">
        <w:rPr>
          <w:color w:val="000000" w:themeColor="text1"/>
        </w:rPr>
        <w:t xml:space="preserve">, </w:t>
      </w:r>
      <w:hyperlink r:id="rId24" w:history="1">
        <w:r w:rsidRPr="003670AB">
          <w:rPr>
            <w:rStyle w:val="Hyperlink"/>
            <w:color w:val="000000" w:themeColor="text1"/>
          </w:rPr>
          <w:t>Spanish</w:t>
        </w:r>
      </w:hyperlink>
      <w:r w:rsidRPr="003670AB">
        <w:rPr>
          <w:color w:val="000000" w:themeColor="text1"/>
        </w:rPr>
        <w:t xml:space="preserve"> and </w:t>
      </w:r>
      <w:hyperlink r:id="rId25" w:history="1">
        <w:r w:rsidRPr="003670AB">
          <w:rPr>
            <w:rStyle w:val="Hyperlink"/>
            <w:color w:val="000000" w:themeColor="text1"/>
          </w:rPr>
          <w:t>Japanese</w:t>
        </w:r>
      </w:hyperlink>
      <w:r w:rsidRPr="003670AB">
        <w:rPr>
          <w:color w:val="000000" w:themeColor="text1"/>
        </w:rPr>
        <w:t xml:space="preserve">), WhatsApp (in </w:t>
      </w:r>
      <w:hyperlink r:id="rId26" w:history="1">
        <w:r w:rsidRPr="003670AB">
          <w:rPr>
            <w:rStyle w:val="Hyperlink"/>
            <w:color w:val="000000" w:themeColor="text1"/>
          </w:rPr>
          <w:t>English</w:t>
        </w:r>
      </w:hyperlink>
      <w:r w:rsidRPr="003670AB">
        <w:rPr>
          <w:color w:val="000000" w:themeColor="text1"/>
        </w:rPr>
        <w:t xml:space="preserve"> and </w:t>
      </w:r>
      <w:hyperlink r:id="rId27" w:history="1">
        <w:r w:rsidRPr="003670AB">
          <w:rPr>
            <w:rStyle w:val="Hyperlink"/>
            <w:color w:val="000000" w:themeColor="text1"/>
          </w:rPr>
          <w:t>Spanish</w:t>
        </w:r>
      </w:hyperlink>
      <w:r w:rsidRPr="003670AB">
        <w:rPr>
          <w:color w:val="000000" w:themeColor="text1"/>
        </w:rPr>
        <w:t xml:space="preserve">),  </w:t>
      </w:r>
      <w:hyperlink r:id="rId28" w:anchor="rd" w:tgtFrame="_blank" w:tooltip="https://mp.weixin.qq.com/s?__biz=MjM5NjMwNTMzMw==&amp;mid=2651657457&amp;idx=1&amp;sn=88a9d97dee9fd0eb350b328ace823b4e&amp;chksm=bd12f42b8a657d3d178461a3b1ed1b6698922bb3fcc1c16020dbf44f42f8cf9abac7563e56ef&amp;mpshare=1&amp;scene=1&amp;srcid=&amp;sharer_sharetime=1580779531250&amp;sharer_sh" w:history="1">
        <w:r w:rsidRPr="003670AB">
          <w:rPr>
            <w:rStyle w:val="Hyperlink"/>
            <w:color w:val="000000" w:themeColor="text1"/>
          </w:rPr>
          <w:t>WeChat</w:t>
        </w:r>
      </w:hyperlink>
      <w:r w:rsidRPr="003670AB">
        <w:rPr>
          <w:color w:val="000000" w:themeColor="text1"/>
        </w:rPr>
        <w:t>, </w:t>
      </w:r>
      <w:hyperlink r:id="rId29" w:tgtFrame="_blank" w:tooltip="https://www.weibo.com/pgatour" w:history="1">
        <w:r w:rsidRPr="003670AB">
          <w:rPr>
            <w:rStyle w:val="Hyperlink"/>
            <w:color w:val="000000" w:themeColor="text1"/>
          </w:rPr>
          <w:t>Weibo</w:t>
        </w:r>
      </w:hyperlink>
      <w:r w:rsidRPr="003670AB">
        <w:rPr>
          <w:color w:val="000000" w:themeColor="text1"/>
        </w:rPr>
        <w:t>, </w:t>
      </w:r>
      <w:proofErr w:type="spellStart"/>
      <w:r w:rsidR="001C0E1E">
        <w:fldChar w:fldCharType="begin"/>
      </w:r>
      <w:r w:rsidR="001C0E1E">
        <w:instrText>HYPERLINK "https://www.toutiao.com/c/user/6301181466/" \l "mid=6310584897" \t "_blank" \o "https://www.toutiao.com/c/user/6301181466/#mid=6310584897"</w:instrText>
      </w:r>
      <w:r w:rsidR="001C0E1E">
        <w:fldChar w:fldCharType="separate"/>
      </w:r>
      <w:r w:rsidRPr="003670AB">
        <w:rPr>
          <w:rStyle w:val="Hyperlink"/>
          <w:color w:val="000000" w:themeColor="text1"/>
        </w:rPr>
        <w:t>Toutiao</w:t>
      </w:r>
      <w:proofErr w:type="spellEnd"/>
      <w:r w:rsidR="001C0E1E">
        <w:rPr>
          <w:rStyle w:val="Hyperlink"/>
          <w:color w:val="000000" w:themeColor="text1"/>
        </w:rPr>
        <w:fldChar w:fldCharType="end"/>
      </w:r>
      <w:r w:rsidRPr="003670AB">
        <w:rPr>
          <w:color w:val="000000" w:themeColor="text1"/>
        </w:rPr>
        <w:t xml:space="preserve"> and </w:t>
      </w:r>
      <w:proofErr w:type="spellStart"/>
      <w:r w:rsidR="001C0E1E">
        <w:fldChar w:fldCharType="begin"/>
      </w:r>
      <w:r w:rsidR="001C0E1E">
        <w:instrText>HYPERLINK "https://www.douyin.com/" \t "_blank" \o "https://www.douyin.com/"</w:instrText>
      </w:r>
      <w:r w:rsidR="001C0E1E">
        <w:fldChar w:fldCharType="separate"/>
      </w:r>
      <w:r w:rsidRPr="003670AB">
        <w:rPr>
          <w:rStyle w:val="Hyperlink"/>
          <w:color w:val="000000" w:themeColor="text1"/>
        </w:rPr>
        <w:t>Douyin</w:t>
      </w:r>
      <w:proofErr w:type="spellEnd"/>
      <w:r w:rsidR="001C0E1E">
        <w:rPr>
          <w:rStyle w:val="Hyperlink"/>
          <w:color w:val="000000" w:themeColor="text1"/>
        </w:rPr>
        <w:fldChar w:fldCharType="end"/>
      </w:r>
      <w:r w:rsidRPr="003670AB">
        <w:rPr>
          <w:color w:val="000000" w:themeColor="text1"/>
        </w:rPr>
        <w:t>.</w:t>
      </w:r>
    </w:p>
    <w:p w14:paraId="10212781" w14:textId="77777777" w:rsidR="00A60086" w:rsidRPr="00A60086" w:rsidRDefault="00A60086" w:rsidP="00A60086">
      <w:pPr>
        <w:pStyle w:val="NoSpacing"/>
        <w:rPr>
          <w:rFonts w:cstheme="minorHAnsi"/>
          <w:b/>
          <w:bCs/>
          <w:color w:val="FF0000"/>
        </w:rPr>
      </w:pPr>
    </w:p>
    <w:sectPr w:rsidR="00A60086" w:rsidRPr="00A600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6F6F4" w14:textId="77777777" w:rsidR="003004D7" w:rsidRDefault="003004D7" w:rsidP="00F46B61">
      <w:r>
        <w:separator/>
      </w:r>
    </w:p>
  </w:endnote>
  <w:endnote w:type="continuationSeparator" w:id="0">
    <w:p w14:paraId="26B4607C" w14:textId="77777777" w:rsidR="003004D7" w:rsidRDefault="003004D7" w:rsidP="00F46B61">
      <w:r>
        <w:continuationSeparator/>
      </w:r>
    </w:p>
  </w:endnote>
  <w:endnote w:type="continuationNotice" w:id="1">
    <w:p w14:paraId="4C2E4600" w14:textId="77777777" w:rsidR="003004D7" w:rsidRDefault="00300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Radikal">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D0CFE" w14:textId="77777777" w:rsidR="003004D7" w:rsidRDefault="003004D7" w:rsidP="00F46B61">
      <w:r>
        <w:separator/>
      </w:r>
    </w:p>
  </w:footnote>
  <w:footnote w:type="continuationSeparator" w:id="0">
    <w:p w14:paraId="6BB935DC" w14:textId="77777777" w:rsidR="003004D7" w:rsidRDefault="003004D7" w:rsidP="00F46B61">
      <w:r>
        <w:continuationSeparator/>
      </w:r>
    </w:p>
  </w:footnote>
  <w:footnote w:type="continuationNotice" w:id="1">
    <w:p w14:paraId="2873DA22" w14:textId="77777777" w:rsidR="003004D7" w:rsidRDefault="003004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B749B"/>
    <w:multiLevelType w:val="hybridMultilevel"/>
    <w:tmpl w:val="77CA1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E0645B"/>
    <w:multiLevelType w:val="hybridMultilevel"/>
    <w:tmpl w:val="813088F6"/>
    <w:lvl w:ilvl="0" w:tplc="946A1BC4">
      <w:start w:val="1"/>
      <w:numFmt w:val="lowerLetter"/>
      <w:lvlText w:val="%1)"/>
      <w:lvlJc w:val="left"/>
      <w:pPr>
        <w:ind w:left="2340" w:hanging="360"/>
      </w:pPr>
      <w:rPr>
        <w:rFonts w:hint="default"/>
      </w:rPr>
    </w:lvl>
    <w:lvl w:ilvl="1" w:tplc="04090017" w:tentative="1">
      <w:start w:val="1"/>
      <w:numFmt w:val="aiueoFullWidth"/>
      <w:lvlText w:val="(%2)"/>
      <w:lvlJc w:val="left"/>
      <w:pPr>
        <w:ind w:left="2860" w:hanging="440"/>
      </w:pPr>
    </w:lvl>
    <w:lvl w:ilvl="2" w:tplc="04090011" w:tentative="1">
      <w:start w:val="1"/>
      <w:numFmt w:val="decimalEnclosedCircle"/>
      <w:lvlText w:val="%3"/>
      <w:lvlJc w:val="left"/>
      <w:pPr>
        <w:ind w:left="3300" w:hanging="440"/>
      </w:pPr>
    </w:lvl>
    <w:lvl w:ilvl="3" w:tplc="0409000F" w:tentative="1">
      <w:start w:val="1"/>
      <w:numFmt w:val="decimal"/>
      <w:lvlText w:val="%4."/>
      <w:lvlJc w:val="left"/>
      <w:pPr>
        <w:ind w:left="3740" w:hanging="440"/>
      </w:pPr>
    </w:lvl>
    <w:lvl w:ilvl="4" w:tplc="04090017" w:tentative="1">
      <w:start w:val="1"/>
      <w:numFmt w:val="aiueoFullWidth"/>
      <w:lvlText w:val="(%5)"/>
      <w:lvlJc w:val="left"/>
      <w:pPr>
        <w:ind w:left="4180" w:hanging="440"/>
      </w:pPr>
    </w:lvl>
    <w:lvl w:ilvl="5" w:tplc="04090011" w:tentative="1">
      <w:start w:val="1"/>
      <w:numFmt w:val="decimalEnclosedCircle"/>
      <w:lvlText w:val="%6"/>
      <w:lvlJc w:val="left"/>
      <w:pPr>
        <w:ind w:left="4620" w:hanging="440"/>
      </w:pPr>
    </w:lvl>
    <w:lvl w:ilvl="6" w:tplc="0409000F" w:tentative="1">
      <w:start w:val="1"/>
      <w:numFmt w:val="decimal"/>
      <w:lvlText w:val="%7."/>
      <w:lvlJc w:val="left"/>
      <w:pPr>
        <w:ind w:left="5060" w:hanging="440"/>
      </w:pPr>
    </w:lvl>
    <w:lvl w:ilvl="7" w:tplc="04090017" w:tentative="1">
      <w:start w:val="1"/>
      <w:numFmt w:val="aiueoFullWidth"/>
      <w:lvlText w:val="(%8)"/>
      <w:lvlJc w:val="left"/>
      <w:pPr>
        <w:ind w:left="5500" w:hanging="440"/>
      </w:pPr>
    </w:lvl>
    <w:lvl w:ilvl="8" w:tplc="04090011" w:tentative="1">
      <w:start w:val="1"/>
      <w:numFmt w:val="decimalEnclosedCircle"/>
      <w:lvlText w:val="%9"/>
      <w:lvlJc w:val="left"/>
      <w:pPr>
        <w:ind w:left="5940" w:hanging="440"/>
      </w:pPr>
    </w:lvl>
  </w:abstractNum>
  <w:abstractNum w:abstractNumId="2" w15:restartNumberingAfterBreak="0">
    <w:nsid w:val="76A0327B"/>
    <w:multiLevelType w:val="hybridMultilevel"/>
    <w:tmpl w:val="AC42D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231361">
    <w:abstractNumId w:val="1"/>
  </w:num>
  <w:num w:numId="2" w16cid:durableId="1762142743">
    <w:abstractNumId w:val="2"/>
  </w:num>
  <w:num w:numId="3" w16cid:durableId="29730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20"/>
    <w:rsid w:val="000078F2"/>
    <w:rsid w:val="0001386C"/>
    <w:rsid w:val="00020687"/>
    <w:rsid w:val="000342A9"/>
    <w:rsid w:val="00057E92"/>
    <w:rsid w:val="000750C7"/>
    <w:rsid w:val="000779C9"/>
    <w:rsid w:val="000808B9"/>
    <w:rsid w:val="000950B6"/>
    <w:rsid w:val="000A34D7"/>
    <w:rsid w:val="000B07EA"/>
    <w:rsid w:val="000D00BD"/>
    <w:rsid w:val="000E45AE"/>
    <w:rsid w:val="001049AB"/>
    <w:rsid w:val="00113D0C"/>
    <w:rsid w:val="00117425"/>
    <w:rsid w:val="00136530"/>
    <w:rsid w:val="0013705A"/>
    <w:rsid w:val="00157C61"/>
    <w:rsid w:val="00171D06"/>
    <w:rsid w:val="00176F29"/>
    <w:rsid w:val="001778C8"/>
    <w:rsid w:val="00185EA1"/>
    <w:rsid w:val="001A0B54"/>
    <w:rsid w:val="001A6982"/>
    <w:rsid w:val="001B20E3"/>
    <w:rsid w:val="001C0E1E"/>
    <w:rsid w:val="001C637A"/>
    <w:rsid w:val="001D369C"/>
    <w:rsid w:val="001D4676"/>
    <w:rsid w:val="00202A32"/>
    <w:rsid w:val="002072B6"/>
    <w:rsid w:val="00210A7F"/>
    <w:rsid w:val="00243805"/>
    <w:rsid w:val="00250302"/>
    <w:rsid w:val="00270FC3"/>
    <w:rsid w:val="00275F45"/>
    <w:rsid w:val="00277228"/>
    <w:rsid w:val="002805F2"/>
    <w:rsid w:val="002B5934"/>
    <w:rsid w:val="002C50CC"/>
    <w:rsid w:val="002E1D08"/>
    <w:rsid w:val="003004D7"/>
    <w:rsid w:val="00301A1A"/>
    <w:rsid w:val="00303E8D"/>
    <w:rsid w:val="00325386"/>
    <w:rsid w:val="00325F89"/>
    <w:rsid w:val="00335FF5"/>
    <w:rsid w:val="0033649D"/>
    <w:rsid w:val="0034198D"/>
    <w:rsid w:val="00354EF9"/>
    <w:rsid w:val="00387E01"/>
    <w:rsid w:val="003A37F2"/>
    <w:rsid w:val="003B3241"/>
    <w:rsid w:val="003E0BE3"/>
    <w:rsid w:val="003E5AE1"/>
    <w:rsid w:val="004046E6"/>
    <w:rsid w:val="004052E3"/>
    <w:rsid w:val="004457AA"/>
    <w:rsid w:val="004A0D86"/>
    <w:rsid w:val="004A4E52"/>
    <w:rsid w:val="004A7F06"/>
    <w:rsid w:val="004B0EA9"/>
    <w:rsid w:val="004C2C85"/>
    <w:rsid w:val="004D431B"/>
    <w:rsid w:val="004F6B54"/>
    <w:rsid w:val="00514B6F"/>
    <w:rsid w:val="005178A1"/>
    <w:rsid w:val="00530B87"/>
    <w:rsid w:val="00532394"/>
    <w:rsid w:val="00541C40"/>
    <w:rsid w:val="0054382A"/>
    <w:rsid w:val="00552E01"/>
    <w:rsid w:val="005708AB"/>
    <w:rsid w:val="005B352F"/>
    <w:rsid w:val="005C5E4F"/>
    <w:rsid w:val="005C6EFC"/>
    <w:rsid w:val="005C79BE"/>
    <w:rsid w:val="005F0051"/>
    <w:rsid w:val="00601D3F"/>
    <w:rsid w:val="006566FA"/>
    <w:rsid w:val="0069496E"/>
    <w:rsid w:val="006A4DAD"/>
    <w:rsid w:val="006B0501"/>
    <w:rsid w:val="006C0439"/>
    <w:rsid w:val="006C3B3B"/>
    <w:rsid w:val="006E0D8B"/>
    <w:rsid w:val="006E18E4"/>
    <w:rsid w:val="006F2958"/>
    <w:rsid w:val="00705024"/>
    <w:rsid w:val="007059A1"/>
    <w:rsid w:val="00716FBA"/>
    <w:rsid w:val="00765DC4"/>
    <w:rsid w:val="0077026B"/>
    <w:rsid w:val="007876F9"/>
    <w:rsid w:val="00797687"/>
    <w:rsid w:val="00797758"/>
    <w:rsid w:val="007A1848"/>
    <w:rsid w:val="007B0429"/>
    <w:rsid w:val="007D2BAE"/>
    <w:rsid w:val="007D7513"/>
    <w:rsid w:val="007E127D"/>
    <w:rsid w:val="007E523E"/>
    <w:rsid w:val="007F64D4"/>
    <w:rsid w:val="0080121E"/>
    <w:rsid w:val="00812AD1"/>
    <w:rsid w:val="008220D4"/>
    <w:rsid w:val="008251F3"/>
    <w:rsid w:val="008420D5"/>
    <w:rsid w:val="00852F6A"/>
    <w:rsid w:val="008548F6"/>
    <w:rsid w:val="00861A9D"/>
    <w:rsid w:val="0086296F"/>
    <w:rsid w:val="00882FD9"/>
    <w:rsid w:val="008901D2"/>
    <w:rsid w:val="008B4809"/>
    <w:rsid w:val="008C5352"/>
    <w:rsid w:val="008C68EB"/>
    <w:rsid w:val="008D3295"/>
    <w:rsid w:val="008E427B"/>
    <w:rsid w:val="008F1EE1"/>
    <w:rsid w:val="0093614F"/>
    <w:rsid w:val="009377EB"/>
    <w:rsid w:val="00940617"/>
    <w:rsid w:val="00956A81"/>
    <w:rsid w:val="00956DFF"/>
    <w:rsid w:val="00967B8B"/>
    <w:rsid w:val="00971FD6"/>
    <w:rsid w:val="009E56CA"/>
    <w:rsid w:val="00A20443"/>
    <w:rsid w:val="00A20C5C"/>
    <w:rsid w:val="00A20EF6"/>
    <w:rsid w:val="00A23D82"/>
    <w:rsid w:val="00A373DB"/>
    <w:rsid w:val="00A42144"/>
    <w:rsid w:val="00A4732E"/>
    <w:rsid w:val="00A5112E"/>
    <w:rsid w:val="00A60086"/>
    <w:rsid w:val="00A61BF9"/>
    <w:rsid w:val="00A6218A"/>
    <w:rsid w:val="00A70D7C"/>
    <w:rsid w:val="00AA395A"/>
    <w:rsid w:val="00AB06CA"/>
    <w:rsid w:val="00AC2C60"/>
    <w:rsid w:val="00AD45EA"/>
    <w:rsid w:val="00AF22D1"/>
    <w:rsid w:val="00B02E20"/>
    <w:rsid w:val="00B40BA3"/>
    <w:rsid w:val="00B40FDA"/>
    <w:rsid w:val="00B444D3"/>
    <w:rsid w:val="00B64F5A"/>
    <w:rsid w:val="00BA7AF1"/>
    <w:rsid w:val="00BB059A"/>
    <w:rsid w:val="00BB6257"/>
    <w:rsid w:val="00BE0669"/>
    <w:rsid w:val="00C00A2A"/>
    <w:rsid w:val="00C04EE4"/>
    <w:rsid w:val="00C069BF"/>
    <w:rsid w:val="00C14EAB"/>
    <w:rsid w:val="00C3376F"/>
    <w:rsid w:val="00C429C3"/>
    <w:rsid w:val="00C567EE"/>
    <w:rsid w:val="00C62117"/>
    <w:rsid w:val="00C96B44"/>
    <w:rsid w:val="00CF0196"/>
    <w:rsid w:val="00D4105B"/>
    <w:rsid w:val="00D42648"/>
    <w:rsid w:val="00D628F7"/>
    <w:rsid w:val="00D71ABC"/>
    <w:rsid w:val="00D7700E"/>
    <w:rsid w:val="00D77E1A"/>
    <w:rsid w:val="00D9297A"/>
    <w:rsid w:val="00D95926"/>
    <w:rsid w:val="00DA1A56"/>
    <w:rsid w:val="00DA38DA"/>
    <w:rsid w:val="00DD64F4"/>
    <w:rsid w:val="00E01B5C"/>
    <w:rsid w:val="00E05F0C"/>
    <w:rsid w:val="00E27EC5"/>
    <w:rsid w:val="00E45D4F"/>
    <w:rsid w:val="00E5352C"/>
    <w:rsid w:val="00E57304"/>
    <w:rsid w:val="00E77C52"/>
    <w:rsid w:val="00E86BDC"/>
    <w:rsid w:val="00E9405F"/>
    <w:rsid w:val="00EB1F0C"/>
    <w:rsid w:val="00EC2B7D"/>
    <w:rsid w:val="00EC3C40"/>
    <w:rsid w:val="00ED28D6"/>
    <w:rsid w:val="00ED3F18"/>
    <w:rsid w:val="00ED4943"/>
    <w:rsid w:val="00ED7251"/>
    <w:rsid w:val="00EE2E22"/>
    <w:rsid w:val="00EF5705"/>
    <w:rsid w:val="00F002B0"/>
    <w:rsid w:val="00F028C1"/>
    <w:rsid w:val="00F04176"/>
    <w:rsid w:val="00F044B8"/>
    <w:rsid w:val="00F04ABC"/>
    <w:rsid w:val="00F34631"/>
    <w:rsid w:val="00F4671D"/>
    <w:rsid w:val="00F46B61"/>
    <w:rsid w:val="00F52E3D"/>
    <w:rsid w:val="00F56F18"/>
    <w:rsid w:val="00F576CB"/>
    <w:rsid w:val="00F57714"/>
    <w:rsid w:val="00F63E2A"/>
    <w:rsid w:val="00F821D8"/>
    <w:rsid w:val="00F942AB"/>
    <w:rsid w:val="00FB1E1D"/>
    <w:rsid w:val="00FB4059"/>
    <w:rsid w:val="00FC37D8"/>
    <w:rsid w:val="00FC5F4A"/>
    <w:rsid w:val="00FD35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7885DA"/>
  <w15:chartTrackingRefBased/>
  <w15:docId w15:val="{773CF05E-EC36-4167-9653-60281F51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E2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sid w:val="00B02E20"/>
    <w:rPr>
      <w:color w:val="2B579A"/>
      <w:shd w:val="clear" w:color="auto" w:fill="E1DFDD"/>
    </w:rPr>
  </w:style>
  <w:style w:type="character" w:styleId="Hyperlink">
    <w:name w:val="Hyperlink"/>
    <w:basedOn w:val="DefaultParagraphFont"/>
    <w:uiPriority w:val="99"/>
    <w:unhideWhenUsed/>
    <w:rsid w:val="00B02E20"/>
    <w:rPr>
      <w:color w:val="0563C1" w:themeColor="hyperlink"/>
      <w:u w:val="single"/>
    </w:rPr>
  </w:style>
  <w:style w:type="character" w:styleId="UnresolvedMention">
    <w:name w:val="Unresolved Mention"/>
    <w:basedOn w:val="DefaultParagraphFont"/>
    <w:uiPriority w:val="99"/>
    <w:semiHidden/>
    <w:unhideWhenUsed/>
    <w:rsid w:val="00B02E20"/>
    <w:rPr>
      <w:color w:val="605E5C"/>
      <w:shd w:val="clear" w:color="auto" w:fill="E1DFDD"/>
    </w:rPr>
  </w:style>
  <w:style w:type="paragraph" w:styleId="NoSpacing">
    <w:name w:val="No Spacing"/>
    <w:uiPriority w:val="1"/>
    <w:qFormat/>
    <w:rsid w:val="001C637A"/>
    <w:pPr>
      <w:spacing w:after="0" w:line="240" w:lineRule="auto"/>
    </w:pPr>
  </w:style>
  <w:style w:type="character" w:customStyle="1" w:styleId="schedule-list-itemprize--title">
    <w:name w:val="schedule-list-item__prize--title"/>
    <w:basedOn w:val="DefaultParagraphFont"/>
    <w:rsid w:val="001C637A"/>
  </w:style>
  <w:style w:type="character" w:customStyle="1" w:styleId="schedule-list-itemprize--value">
    <w:name w:val="schedule-list-item__prize--value"/>
    <w:basedOn w:val="DefaultParagraphFont"/>
    <w:rsid w:val="001C637A"/>
  </w:style>
  <w:style w:type="paragraph" w:styleId="Header">
    <w:name w:val="header"/>
    <w:basedOn w:val="Normal"/>
    <w:link w:val="HeaderChar"/>
    <w:uiPriority w:val="99"/>
    <w:unhideWhenUsed/>
    <w:rsid w:val="00F46B61"/>
    <w:pPr>
      <w:tabs>
        <w:tab w:val="center" w:pos="4252"/>
        <w:tab w:val="right" w:pos="8504"/>
      </w:tabs>
      <w:snapToGrid w:val="0"/>
    </w:pPr>
  </w:style>
  <w:style w:type="character" w:customStyle="1" w:styleId="HeaderChar">
    <w:name w:val="Header Char"/>
    <w:basedOn w:val="DefaultParagraphFont"/>
    <w:link w:val="Header"/>
    <w:uiPriority w:val="99"/>
    <w:rsid w:val="00F46B61"/>
    <w:rPr>
      <w:rFonts w:ascii="Times New Roman" w:hAnsi="Times New Roman" w:cs="Times New Roman"/>
      <w:sz w:val="24"/>
      <w:szCs w:val="24"/>
      <w:lang w:eastAsia="en-GB"/>
    </w:rPr>
  </w:style>
  <w:style w:type="paragraph" w:styleId="Footer">
    <w:name w:val="footer"/>
    <w:basedOn w:val="Normal"/>
    <w:link w:val="FooterChar"/>
    <w:uiPriority w:val="99"/>
    <w:unhideWhenUsed/>
    <w:rsid w:val="00F46B61"/>
    <w:pPr>
      <w:tabs>
        <w:tab w:val="center" w:pos="4252"/>
        <w:tab w:val="right" w:pos="8504"/>
      </w:tabs>
      <w:snapToGrid w:val="0"/>
    </w:pPr>
  </w:style>
  <w:style w:type="character" w:customStyle="1" w:styleId="FooterChar">
    <w:name w:val="Footer Char"/>
    <w:basedOn w:val="DefaultParagraphFont"/>
    <w:link w:val="Footer"/>
    <w:uiPriority w:val="99"/>
    <w:rsid w:val="00F46B61"/>
    <w:rPr>
      <w:rFonts w:ascii="Times New Roman" w:hAnsi="Times New Roman" w:cs="Times New Roman"/>
      <w:sz w:val="24"/>
      <w:szCs w:val="24"/>
      <w:lang w:eastAsia="en-GB"/>
    </w:rPr>
  </w:style>
  <w:style w:type="paragraph" w:styleId="ListParagraph">
    <w:name w:val="List Paragraph"/>
    <w:basedOn w:val="Normal"/>
    <w:uiPriority w:val="34"/>
    <w:qFormat/>
    <w:rsid w:val="00F46B61"/>
    <w:pPr>
      <w:ind w:leftChars="400" w:left="840"/>
    </w:pPr>
  </w:style>
  <w:style w:type="table" w:styleId="TableGrid">
    <w:name w:val="Table Grid"/>
    <w:basedOn w:val="TableNormal"/>
    <w:uiPriority w:val="39"/>
    <w:rsid w:val="00F46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220D4"/>
    <w:rPr>
      <w:color w:val="954F72" w:themeColor="followedHyperlink"/>
      <w:u w:val="single"/>
    </w:rPr>
  </w:style>
  <w:style w:type="paragraph" w:styleId="Revision">
    <w:name w:val="Revision"/>
    <w:hidden/>
    <w:uiPriority w:val="99"/>
    <w:semiHidden/>
    <w:rsid w:val="00301A1A"/>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B352F"/>
    <w:rPr>
      <w:sz w:val="16"/>
      <w:szCs w:val="16"/>
    </w:rPr>
  </w:style>
  <w:style w:type="paragraph" w:styleId="CommentText">
    <w:name w:val="annotation text"/>
    <w:basedOn w:val="Normal"/>
    <w:link w:val="CommentTextChar"/>
    <w:uiPriority w:val="99"/>
    <w:unhideWhenUsed/>
    <w:rsid w:val="005B352F"/>
    <w:rPr>
      <w:sz w:val="20"/>
      <w:szCs w:val="20"/>
    </w:rPr>
  </w:style>
  <w:style w:type="character" w:customStyle="1" w:styleId="CommentTextChar">
    <w:name w:val="Comment Text Char"/>
    <w:basedOn w:val="DefaultParagraphFont"/>
    <w:link w:val="CommentText"/>
    <w:uiPriority w:val="99"/>
    <w:rsid w:val="005B352F"/>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B352F"/>
    <w:rPr>
      <w:b/>
      <w:bCs/>
    </w:rPr>
  </w:style>
  <w:style w:type="character" w:customStyle="1" w:styleId="CommentSubjectChar">
    <w:name w:val="Comment Subject Char"/>
    <w:basedOn w:val="CommentTextChar"/>
    <w:link w:val="CommentSubject"/>
    <w:uiPriority w:val="99"/>
    <w:semiHidden/>
    <w:rsid w:val="005B352F"/>
    <w:rPr>
      <w:rFonts w:ascii="Times New Roman" w:hAnsi="Times New Roman" w:cs="Times New Roman"/>
      <w:b/>
      <w:bCs/>
      <w:sz w:val="20"/>
      <w:szCs w:val="20"/>
      <w:lang w:eastAsia="en-GB"/>
    </w:rPr>
  </w:style>
  <w:style w:type="character" w:styleId="Strong">
    <w:name w:val="Strong"/>
    <w:basedOn w:val="DefaultParagraphFont"/>
    <w:uiPriority w:val="22"/>
    <w:qFormat/>
    <w:rsid w:val="004F6B54"/>
    <w:rPr>
      <w:b/>
      <w:bCs/>
    </w:rPr>
  </w:style>
  <w:style w:type="paragraph" w:styleId="NormalWeb">
    <w:name w:val="Normal (Web)"/>
    <w:basedOn w:val="Normal"/>
    <w:uiPriority w:val="99"/>
    <w:unhideWhenUsed/>
    <w:rsid w:val="00275F45"/>
    <w:pPr>
      <w:spacing w:before="100" w:beforeAutospacing="1" w:after="100" w:afterAutospacing="1"/>
    </w:pPr>
    <w:rPr>
      <w:rFonts w:ascii="Calibri" w:eastAsiaTheme="minorHAnsi" w:hAnsi="Calibri" w:cs="Calibri"/>
      <w:sz w:val="22"/>
      <w:szCs w:val="22"/>
      <w:lang w:val="en-US" w:eastAsia="en-US"/>
    </w:rPr>
  </w:style>
  <w:style w:type="character" w:customStyle="1" w:styleId="ui-provider">
    <w:name w:val="ui-provider"/>
    <w:basedOn w:val="DefaultParagraphFont"/>
    <w:rsid w:val="00E01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4820">
      <w:bodyDiv w:val="1"/>
      <w:marLeft w:val="0"/>
      <w:marRight w:val="0"/>
      <w:marTop w:val="0"/>
      <w:marBottom w:val="0"/>
      <w:divBdr>
        <w:top w:val="none" w:sz="0" w:space="0" w:color="auto"/>
        <w:left w:val="none" w:sz="0" w:space="0" w:color="auto"/>
        <w:bottom w:val="none" w:sz="0" w:space="0" w:color="auto"/>
        <w:right w:val="none" w:sz="0" w:space="0" w:color="auto"/>
      </w:divBdr>
    </w:div>
    <w:div w:id="43143413">
      <w:bodyDiv w:val="1"/>
      <w:marLeft w:val="0"/>
      <w:marRight w:val="0"/>
      <w:marTop w:val="0"/>
      <w:marBottom w:val="0"/>
      <w:divBdr>
        <w:top w:val="none" w:sz="0" w:space="0" w:color="auto"/>
        <w:left w:val="none" w:sz="0" w:space="0" w:color="auto"/>
        <w:bottom w:val="none" w:sz="0" w:space="0" w:color="auto"/>
        <w:right w:val="none" w:sz="0" w:space="0" w:color="auto"/>
      </w:divBdr>
    </w:div>
    <w:div w:id="454757161">
      <w:bodyDiv w:val="1"/>
      <w:marLeft w:val="0"/>
      <w:marRight w:val="0"/>
      <w:marTop w:val="0"/>
      <w:marBottom w:val="0"/>
      <w:divBdr>
        <w:top w:val="none" w:sz="0" w:space="0" w:color="auto"/>
        <w:left w:val="none" w:sz="0" w:space="0" w:color="auto"/>
        <w:bottom w:val="none" w:sz="0" w:space="0" w:color="auto"/>
        <w:right w:val="none" w:sz="0" w:space="0" w:color="auto"/>
      </w:divBdr>
    </w:div>
    <w:div w:id="465005532">
      <w:bodyDiv w:val="1"/>
      <w:marLeft w:val="0"/>
      <w:marRight w:val="0"/>
      <w:marTop w:val="0"/>
      <w:marBottom w:val="0"/>
      <w:divBdr>
        <w:top w:val="none" w:sz="0" w:space="0" w:color="auto"/>
        <w:left w:val="none" w:sz="0" w:space="0" w:color="auto"/>
        <w:bottom w:val="none" w:sz="0" w:space="0" w:color="auto"/>
        <w:right w:val="none" w:sz="0" w:space="0" w:color="auto"/>
      </w:divBdr>
    </w:div>
    <w:div w:id="958217877">
      <w:bodyDiv w:val="1"/>
      <w:marLeft w:val="0"/>
      <w:marRight w:val="0"/>
      <w:marTop w:val="0"/>
      <w:marBottom w:val="0"/>
      <w:divBdr>
        <w:top w:val="none" w:sz="0" w:space="0" w:color="auto"/>
        <w:left w:val="none" w:sz="0" w:space="0" w:color="auto"/>
        <w:bottom w:val="none" w:sz="0" w:space="0" w:color="auto"/>
        <w:right w:val="none" w:sz="0" w:space="0" w:color="auto"/>
      </w:divBdr>
    </w:div>
    <w:div w:id="999388441">
      <w:bodyDiv w:val="1"/>
      <w:marLeft w:val="0"/>
      <w:marRight w:val="0"/>
      <w:marTop w:val="0"/>
      <w:marBottom w:val="0"/>
      <w:divBdr>
        <w:top w:val="none" w:sz="0" w:space="0" w:color="auto"/>
        <w:left w:val="none" w:sz="0" w:space="0" w:color="auto"/>
        <w:bottom w:val="none" w:sz="0" w:space="0" w:color="auto"/>
        <w:right w:val="none" w:sz="0" w:space="0" w:color="auto"/>
      </w:divBdr>
    </w:div>
    <w:div w:id="1027877131">
      <w:bodyDiv w:val="1"/>
      <w:marLeft w:val="0"/>
      <w:marRight w:val="0"/>
      <w:marTop w:val="0"/>
      <w:marBottom w:val="0"/>
      <w:divBdr>
        <w:top w:val="none" w:sz="0" w:space="0" w:color="auto"/>
        <w:left w:val="none" w:sz="0" w:space="0" w:color="auto"/>
        <w:bottom w:val="none" w:sz="0" w:space="0" w:color="auto"/>
        <w:right w:val="none" w:sz="0" w:space="0" w:color="auto"/>
      </w:divBdr>
    </w:div>
    <w:div w:id="1141187761">
      <w:bodyDiv w:val="1"/>
      <w:marLeft w:val="0"/>
      <w:marRight w:val="0"/>
      <w:marTop w:val="0"/>
      <w:marBottom w:val="0"/>
      <w:divBdr>
        <w:top w:val="none" w:sz="0" w:space="0" w:color="auto"/>
        <w:left w:val="none" w:sz="0" w:space="0" w:color="auto"/>
        <w:bottom w:val="none" w:sz="0" w:space="0" w:color="auto"/>
        <w:right w:val="none" w:sz="0" w:space="0" w:color="auto"/>
      </w:divBdr>
    </w:div>
    <w:div w:id="1545436967">
      <w:bodyDiv w:val="1"/>
      <w:marLeft w:val="0"/>
      <w:marRight w:val="0"/>
      <w:marTop w:val="0"/>
      <w:marBottom w:val="0"/>
      <w:divBdr>
        <w:top w:val="none" w:sz="0" w:space="0" w:color="auto"/>
        <w:left w:val="none" w:sz="0" w:space="0" w:color="auto"/>
        <w:bottom w:val="none" w:sz="0" w:space="0" w:color="auto"/>
        <w:right w:val="none" w:sz="0" w:space="0" w:color="auto"/>
      </w:divBdr>
    </w:div>
    <w:div w:id="194399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ms@europeantourgroup.com" TargetMode="External"/><Relationship Id="rId18" Type="http://schemas.openxmlformats.org/officeDocument/2006/relationships/hyperlink" Target="https://www.instagram.com/pgatouresp/" TargetMode="External"/><Relationship Id="rId26" Type="http://schemas.openxmlformats.org/officeDocument/2006/relationships/hyperlink" Target="https://www.whatsapp.com/channel/0029Va3nJw68KMqrNum9CW3Q" TargetMode="External"/><Relationship Id="rId3" Type="http://schemas.openxmlformats.org/officeDocument/2006/relationships/customXml" Target="../customXml/item3.xml"/><Relationship Id="rId21" Type="http://schemas.openxmlformats.org/officeDocument/2006/relationships/hyperlink" Target="https://www.linkedin.com/company/pga-tour/" TargetMode="Externa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yperlink" Target="https://www.instagram.com/pgatour/" TargetMode="External"/><Relationship Id="rId25" Type="http://schemas.openxmlformats.org/officeDocument/2006/relationships/hyperlink" Target="https://twitter.com/PGATOUR_Japan" TargetMode="External"/><Relationship Id="rId2" Type="http://schemas.openxmlformats.org/officeDocument/2006/relationships/customXml" Target="../customXml/item2.xml"/><Relationship Id="rId16" Type="http://schemas.openxmlformats.org/officeDocument/2006/relationships/hyperlink" Target="https://www.facebook.com/PGATour/" TargetMode="External"/><Relationship Id="rId20" Type="http://schemas.openxmlformats.org/officeDocument/2006/relationships/hyperlink" Target="https://www.instagram.com/pgatour_japan/?hl=en" TargetMode="External"/><Relationship Id="rId29" Type="http://schemas.openxmlformats.org/officeDocument/2006/relationships/hyperlink" Target="https://www.weibo.com/pgatou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uropeantour.com/dpworld-tour/rankings/overview/global-amateur-pathway/" TargetMode="External"/><Relationship Id="rId24" Type="http://schemas.openxmlformats.org/officeDocument/2006/relationships/hyperlink" Target="https://twitter.com/pgatouresp" TargetMode="External"/><Relationship Id="rId5" Type="http://schemas.openxmlformats.org/officeDocument/2006/relationships/styles" Target="styles.xml"/><Relationship Id="rId15" Type="http://schemas.openxmlformats.org/officeDocument/2006/relationships/hyperlink" Target="mailto:TadDickman@pgatourhq.com" TargetMode="External"/><Relationship Id="rId23" Type="http://schemas.openxmlformats.org/officeDocument/2006/relationships/hyperlink" Target="https://twitter.com/PGATOUR" TargetMode="External"/><Relationship Id="rId28" Type="http://schemas.openxmlformats.org/officeDocument/2006/relationships/hyperlink" Target="https://mp.weixin.qq.com/s?__biz=MjM5NjMwNTMzMw==&amp;mid=2651657457&amp;idx=1&amp;sn=88a9d97dee9fd0eb350b328ace823b4e&amp;chksm=bd12f42b8a657d3d178461a3b1ed1b6698922bb3fcc1c16020dbf44f42f8cf9abac7563e56ef&amp;mpshare=1&amp;scene=1&amp;srcid=&amp;sharer_sharetime=1580779531250&amp;sharer_shareid=058f3b4488554c4e4fcb906fcc49755f&amp;exportkey=AZTD9L7Uprn8iaYs%2BoP6uXw%3D&amp;pass_ticket=FHFQxidNP2QmVAL93G8XgSDIz9a89Mw62Q22VcSKgwg83N9QQqpVQ%2BzVoUDxtSU1" TargetMode="External"/><Relationship Id="rId10" Type="http://schemas.openxmlformats.org/officeDocument/2006/relationships/image" Target="media/image1.png"/><Relationship Id="rId19" Type="http://schemas.openxmlformats.org/officeDocument/2006/relationships/hyperlink" Target="https://www.instagram.com/pgatour_korea/"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dia@randa.org" TargetMode="External"/><Relationship Id="rId22" Type="http://schemas.openxmlformats.org/officeDocument/2006/relationships/hyperlink" Target="https://www.tiktok.com/@pgatour?lang=en" TargetMode="External"/><Relationship Id="rId27" Type="http://schemas.openxmlformats.org/officeDocument/2006/relationships/hyperlink" Target="https://www.whatsapp.com/channel/0029VZzjq2e0bIdmjyKUtD1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bcaf6f-8939-44a8-bc91-686629c5e5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26D3B0EA299744B8E8441563129EB4" ma:contentTypeVersion="18" ma:contentTypeDescription="Create a new document." ma:contentTypeScope="" ma:versionID="e5b48f14af079525359993a4125ff682">
  <xsd:schema xmlns:xsd="http://www.w3.org/2001/XMLSchema" xmlns:xs="http://www.w3.org/2001/XMLSchema" xmlns:p="http://schemas.microsoft.com/office/2006/metadata/properties" xmlns:ns3="b11f316e-b319-4439-8768-13a0f3f31afa" xmlns:ns4="7bbcaf6f-8939-44a8-bc91-686629c5e50d" targetNamespace="http://schemas.microsoft.com/office/2006/metadata/properties" ma:root="true" ma:fieldsID="6412e4639fcc9cf3c88e53d90de8770e" ns3:_="" ns4:_="">
    <xsd:import namespace="b11f316e-b319-4439-8768-13a0f3f31afa"/>
    <xsd:import namespace="7bbcaf6f-8939-44a8-bc91-686629c5e5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f316e-b319-4439-8768-13a0f3f31a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bcaf6f-8939-44a8-bc91-686629c5e50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1D838E-6786-4135-A4F0-53C1A9BF97D5}">
  <ds:schemaRefs>
    <ds:schemaRef ds:uri="http://schemas.microsoft.com/office/2006/metadata/properties"/>
    <ds:schemaRef ds:uri="http://schemas.microsoft.com/office/infopath/2007/PartnerControls"/>
    <ds:schemaRef ds:uri="7bbcaf6f-8939-44a8-bc91-686629c5e50d"/>
  </ds:schemaRefs>
</ds:datastoreItem>
</file>

<file path=customXml/itemProps2.xml><?xml version="1.0" encoding="utf-8"?>
<ds:datastoreItem xmlns:ds="http://schemas.openxmlformats.org/officeDocument/2006/customXml" ds:itemID="{682C1177-C7CE-4F7F-860F-92138B3DD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f316e-b319-4439-8768-13a0f3f31afa"/>
    <ds:schemaRef ds:uri="7bbcaf6f-8939-44a8-bc91-686629c5e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0186A5-B9AE-451F-AF95-96B1313E37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2150</Words>
  <Characters>12259</Characters>
  <Application>Microsoft Office Word</Application>
  <DocSecurity>0</DocSecurity>
  <Lines>102</Lines>
  <Paragraphs>28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Bodel</dc:creator>
  <cp:keywords/>
  <dc:description/>
  <cp:lastModifiedBy>Nadia Qistina</cp:lastModifiedBy>
  <cp:revision>2</cp:revision>
  <dcterms:created xsi:type="dcterms:W3CDTF">2024-06-05T08:49:00Z</dcterms:created>
  <dcterms:modified xsi:type="dcterms:W3CDTF">2024-06-05T08:49:00Z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0x010100F626D3B0EA299744B8E8441563129EB4</vt:lpwstr>
  </property>
</Properties>
</file>